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cs="Arial"/>
          <w:b/>
        </w:rPr>
      </w:pPr>
      <w:r>
        <w:rPr>
          <w:rFonts w:ascii="Arial" w:hAnsi="Arial" w:cs="Arial"/>
          <w:b/>
        </w:rPr>
        <w:t>3GPP TSG-SA WG6 Meeting #62</w:t>
      </w:r>
      <w:r>
        <w:rPr>
          <w:rFonts w:ascii="Arial" w:hAnsi="Arial" w:cs="Arial"/>
          <w:b/>
        </w:rPr>
        <w:tab/>
      </w:r>
      <w:r>
        <w:rPr>
          <w:rFonts w:ascii="Arial" w:hAnsi="Arial" w:cs="Arial"/>
          <w:b/>
        </w:rPr>
        <w:t>S6-243</w:t>
      </w:r>
      <w:r>
        <w:rPr>
          <w:rFonts w:hint="eastAsia" w:ascii="Arial" w:hAnsi="Arial" w:cs="Arial"/>
          <w:b/>
        </w:rPr>
        <w:t>158</w:t>
      </w:r>
    </w:p>
    <w:p>
      <w:pPr>
        <w:pBdr>
          <w:bottom w:val="single" w:color="auto" w:sz="4" w:space="1"/>
        </w:pBdr>
        <w:tabs>
          <w:tab w:val="right" w:pos="9214"/>
        </w:tabs>
        <w:spacing w:after="0"/>
        <w:rPr>
          <w:rFonts w:ascii="Arial" w:hAnsi="Arial" w:cs="Arial"/>
          <w:b/>
        </w:rPr>
      </w:pPr>
      <w:r>
        <w:rPr>
          <w:rFonts w:ascii="Arial" w:hAnsi="Arial" w:cs="Arial"/>
          <w:b/>
        </w:rPr>
        <w:t>Maastricht, Netherlands, 19</w:t>
      </w:r>
      <w:r>
        <w:rPr>
          <w:rFonts w:ascii="Arial" w:hAnsi="Arial" w:cs="Arial"/>
          <w:b/>
          <w:vertAlign w:val="superscript"/>
        </w:rPr>
        <w:t>th</w:t>
      </w:r>
      <w:r>
        <w:rPr>
          <w:rFonts w:ascii="Arial" w:hAnsi="Arial" w:cs="Arial"/>
          <w:b/>
        </w:rPr>
        <w:t xml:space="preserve"> – 23</w:t>
      </w:r>
      <w:r>
        <w:rPr>
          <w:rFonts w:ascii="Arial" w:hAnsi="Arial" w:cs="Arial"/>
          <w:b/>
          <w:vertAlign w:val="superscript"/>
        </w:rPr>
        <w:t>rd</w:t>
      </w:r>
      <w:r>
        <w:rPr>
          <w:rFonts w:ascii="Arial" w:hAnsi="Arial" w:cs="Arial"/>
          <w:b/>
        </w:rPr>
        <w:t xml:space="preserve"> August 2024</w:t>
      </w:r>
      <w:r>
        <w:rPr>
          <w:rFonts w:ascii="Arial" w:hAnsi="Arial" w:cs="Arial"/>
          <w:b/>
        </w:rPr>
        <w:tab/>
      </w:r>
      <w:r>
        <w:rPr>
          <w:rFonts w:ascii="Arial" w:hAnsi="Arial" w:cs="Arial"/>
          <w:b/>
        </w:rPr>
        <w:t>(revision of S6-243xxx)</w:t>
      </w:r>
    </w:p>
    <w:p>
      <w:pPr>
        <w:rPr>
          <w:rFonts w:ascii="Arial" w:hAnsi="Arial"/>
        </w:rPr>
      </w:pPr>
    </w:p>
    <w:p>
      <w:pPr>
        <w:tabs>
          <w:tab w:val="left" w:pos="1701"/>
        </w:tabs>
        <w:rPr>
          <w:rFonts w:ascii="Arial" w:hAnsi="Arial" w:eastAsia="宋体"/>
        </w:rPr>
      </w:pPr>
      <w:r>
        <w:rPr>
          <w:rFonts w:ascii="Arial" w:hAnsi="Arial" w:eastAsia="宋体"/>
        </w:rPr>
        <w:t>Source:</w:t>
      </w:r>
      <w:r>
        <w:rPr>
          <w:rFonts w:ascii="Arial" w:hAnsi="Arial" w:eastAsia="宋体"/>
        </w:rPr>
        <w:tab/>
      </w:r>
      <w:r>
        <w:rPr>
          <w:rFonts w:hint="eastAsia" w:ascii="Arial" w:hAnsi="Arial" w:eastAsia="宋体"/>
        </w:rPr>
        <w:t>ZTE Corporation</w:t>
      </w:r>
    </w:p>
    <w:p>
      <w:pPr>
        <w:tabs>
          <w:tab w:val="left" w:pos="1701"/>
        </w:tabs>
        <w:rPr>
          <w:rFonts w:hint="default" w:ascii="Arial" w:hAnsi="Arial" w:eastAsia="宋体"/>
          <w:lang w:val="en-US" w:eastAsia="zh-CN"/>
        </w:rPr>
      </w:pPr>
      <w:r>
        <w:rPr>
          <w:rFonts w:ascii="Arial" w:hAnsi="Arial" w:eastAsia="宋体"/>
        </w:rPr>
        <w:t>Title:</w:t>
      </w:r>
      <w:r>
        <w:rPr>
          <w:rFonts w:ascii="Arial" w:hAnsi="Arial" w:eastAsia="宋体"/>
        </w:rPr>
        <w:tab/>
      </w:r>
      <w:r>
        <w:rPr>
          <w:rFonts w:hint="eastAsia" w:ascii="Arial" w:hAnsi="Arial" w:eastAsia="宋体"/>
          <w:lang w:val="en-US" w:eastAsia="zh-CN"/>
        </w:rPr>
        <w:t>New Solution for KI#1: Discussion on acquiring resource owner authorization across different UEs</w:t>
      </w:r>
    </w:p>
    <w:p>
      <w:pPr>
        <w:tabs>
          <w:tab w:val="left" w:pos="1701"/>
        </w:tabs>
        <w:rPr>
          <w:rFonts w:ascii="Arial" w:hAnsi="Arial" w:eastAsia="宋体"/>
        </w:rPr>
      </w:pPr>
      <w:r>
        <w:rPr>
          <w:rFonts w:ascii="Arial" w:hAnsi="Arial" w:eastAsia="宋体"/>
        </w:rPr>
        <w:t>Agenda Item:</w:t>
      </w:r>
      <w:r>
        <w:rPr>
          <w:rFonts w:ascii="Arial" w:hAnsi="Arial" w:eastAsia="宋体"/>
        </w:rPr>
        <w:tab/>
      </w:r>
      <w:r>
        <w:rPr>
          <w:rFonts w:hint="eastAsia" w:ascii="Arial" w:hAnsi="Arial" w:eastAsia="宋体"/>
        </w:rPr>
        <w:t>8.7</w:t>
      </w:r>
    </w:p>
    <w:p>
      <w:pPr>
        <w:tabs>
          <w:tab w:val="left" w:pos="1701"/>
        </w:tabs>
        <w:rPr>
          <w:rFonts w:ascii="Arial" w:hAnsi="Arial" w:eastAsia="宋体"/>
        </w:rPr>
      </w:pPr>
      <w:r>
        <w:rPr>
          <w:rFonts w:ascii="Arial" w:hAnsi="Arial" w:eastAsia="宋体"/>
        </w:rPr>
        <w:t>Contact:</w:t>
      </w:r>
      <w:r>
        <w:rPr>
          <w:rFonts w:ascii="Arial" w:hAnsi="Arial" w:eastAsia="宋体"/>
        </w:rPr>
        <w:tab/>
      </w:r>
      <w:r>
        <w:rPr>
          <w:rFonts w:hint="eastAsia" w:ascii="Arial" w:hAnsi="Arial" w:eastAsia="宋体"/>
        </w:rPr>
        <w:t>Yang Li (li.yang1226@zte.com.cn)</w:t>
      </w:r>
      <w:bookmarkStart w:id="16" w:name="_GoBack"/>
      <w:bookmarkEnd w:id="16"/>
    </w:p>
    <w:p>
      <w:pPr>
        <w:pBdr>
          <w:bottom w:val="single" w:color="auto" w:sz="6" w:space="1"/>
        </w:pBdr>
      </w:pPr>
    </w:p>
    <w:p>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lang w:val="nl-NL"/>
        </w:rPr>
        <w:t xml:space="preserve">Abstract: </w:t>
      </w:r>
      <w:r>
        <w:rPr>
          <w:rFonts w:hint="eastAsia" w:ascii="Arial" w:hAnsi="Arial" w:eastAsia="宋体" w:cs="Arial"/>
          <w:i/>
          <w:sz w:val="22"/>
          <w:szCs w:val="22"/>
          <w:lang w:val="en-US" w:eastAsia="zh-CN"/>
        </w:rPr>
        <w:t>This paper provides an analysis for the key issue #6: UE-deployed API invoker accessing resources not owned by that UE.</w:t>
      </w:r>
    </w:p>
    <w:p>
      <w:pPr>
        <w:pStyle w:val="2"/>
        <w:numPr>
          <w:ilvl w:val="0"/>
          <w:numId w:val="1"/>
        </w:numPr>
        <w:bidi w:val="0"/>
        <w:rPr>
          <w:rFonts w:hint="default"/>
          <w:lang w:val="en-US" w:eastAsia="zh-CN"/>
        </w:rPr>
      </w:pPr>
      <w:r>
        <w:rPr>
          <w:rFonts w:hint="eastAsia"/>
          <w:lang w:val="en-US" w:eastAsia="zh-CN"/>
        </w:rPr>
        <w:t>Background</w:t>
      </w:r>
    </w:p>
    <w:p>
      <w:pPr>
        <w:rPr>
          <w:rFonts w:hint="eastAsia"/>
          <w:lang w:val="en-US" w:eastAsia="zh-CN"/>
        </w:rPr>
      </w:pPr>
      <w:bookmarkStart w:id="0" w:name="OLE_LINK11"/>
      <w:bookmarkStart w:id="1" w:name="OLE_LINK12"/>
      <w:r>
        <w:rPr>
          <w:rFonts w:hint="eastAsia"/>
          <w:lang w:val="en-US" w:eastAsia="zh-CN"/>
        </w:rPr>
        <w:t>In Rel-18, the scope of API invoker on a UE within the RNAA framework is strictly confined to accessing its own resources exclusively. This restriction is also acknowledged by SA3.</w:t>
      </w:r>
      <w:bookmarkEnd w:id="0"/>
      <w:r>
        <w:rPr>
          <w:rFonts w:hint="eastAsia"/>
          <w:lang w:val="en-US" w:eastAsia="zh-CN"/>
        </w:rPr>
        <w:t xml:space="preserve"> However, there are some cases in which it is needed to support a UE-deployed API invoker accessing resources of other resource owners. For instance, in fleet management applications, an application client hosted on a UE may require access to the location data of another UE. Consequently, enhancements are imperative to facilitate this cross-UE resource access.</w:t>
      </w:r>
    </w:p>
    <w:p>
      <w:pPr>
        <w:rPr>
          <w:rFonts w:hint="default"/>
          <w:lang w:val="en-US" w:eastAsia="zh-CN"/>
        </w:rPr>
      </w:pPr>
      <w:r>
        <w:rPr>
          <w:rFonts w:hint="eastAsia"/>
          <w:lang w:val="en-US" w:eastAsia="zh-CN"/>
        </w:rPr>
        <w:t>In the last meeting, we proposed utilizing the group management mechanism in SEAL to facilitate cross-UE resource access, specifically supporting resource access between UEs within the same group. However, it was noted that this approach lacks flexibility, as it should not restrict resource access to only UEs within the same group. To advance the discussion, we have revisited the issue in this paper.</w:t>
      </w:r>
    </w:p>
    <w:p>
      <w:pPr>
        <w:rPr>
          <w:rFonts w:hint="default"/>
          <w:lang w:val="en-US" w:eastAsia="zh-CN"/>
        </w:rPr>
      </w:pPr>
      <w:bookmarkStart w:id="2" w:name="OLE_LINK13"/>
      <w:r>
        <w:rPr>
          <w:rFonts w:hint="eastAsia"/>
          <w:lang w:val="en-US" w:eastAsia="zh-CN"/>
        </w:rPr>
        <w:t>Before discussing key issue #6, it is imperative to clarify certain preliminary information. Specifically, we must clarify the mechanism used in Rel-18 to restrict a UE-deployed API invoker</w:t>
      </w:r>
      <w:r>
        <w:rPr>
          <w:rFonts w:hint="default"/>
          <w:lang w:val="en-US" w:eastAsia="zh-CN"/>
        </w:rPr>
        <w:t>’</w:t>
      </w:r>
      <w:r>
        <w:rPr>
          <w:rFonts w:hint="eastAsia"/>
          <w:lang w:val="en-US" w:eastAsia="zh-CN"/>
        </w:rPr>
        <w:t>s access to its own resources only. Furthermore, it is crucial to ascertain whether this issue falls within the scope of SA6 or SA3.</w:t>
      </w:r>
    </w:p>
    <w:p>
      <w:pPr>
        <w:rPr>
          <w:rFonts w:hint="default"/>
          <w:lang w:val="en-US" w:eastAsia="zh-CN"/>
        </w:rPr>
      </w:pPr>
      <w:r>
        <w:rPr>
          <w:rFonts w:hint="eastAsia"/>
          <w:lang w:val="en-US" w:eastAsia="zh-CN"/>
        </w:rPr>
        <w:t>Then, based on these preliminary information, we can continue to discuss the solution for enabling a UE-deployed API invoker to access resources that are not owned by the same UE.</w:t>
      </w:r>
    </w:p>
    <w:bookmarkEnd w:id="1"/>
    <w:bookmarkEnd w:id="2"/>
    <w:p>
      <w:pPr>
        <w:pStyle w:val="2"/>
        <w:numPr>
          <w:ilvl w:val="0"/>
          <w:numId w:val="1"/>
        </w:numPr>
        <w:bidi w:val="0"/>
        <w:ind w:left="1134" w:leftChars="0" w:hanging="1134" w:firstLineChars="0"/>
        <w:rPr>
          <w:rFonts w:hint="default"/>
          <w:lang w:val="en-US" w:eastAsia="zh-CN"/>
        </w:rPr>
      </w:pPr>
      <w:r>
        <w:rPr>
          <w:rFonts w:hint="eastAsia"/>
          <w:lang w:val="en-US" w:eastAsia="zh-CN"/>
        </w:rPr>
        <w:t>Discussion</w:t>
      </w:r>
    </w:p>
    <w:p>
      <w:pPr>
        <w:numPr>
          <w:ilvl w:val="0"/>
          <w:numId w:val="0"/>
        </w:numPr>
        <w:ind w:leftChars="0"/>
        <w:rPr>
          <w:rFonts w:hint="eastAsia"/>
          <w:lang w:val="en-US" w:eastAsia="zh-CN"/>
        </w:rPr>
      </w:pPr>
      <w:bookmarkStart w:id="3" w:name="OLE_LINK2"/>
      <w:r>
        <w:rPr>
          <w:rFonts w:hint="eastAsia"/>
          <w:lang w:val="en-US" w:eastAsia="zh-CN"/>
        </w:rPr>
        <w:t>In Rel-18, there is no clear description of the mechanism for limiting a UE-deployed API invoker to access its own resources only. But we can find some relevant statements within TS 33.122.</w:t>
      </w:r>
    </w:p>
    <w:bookmarkEnd w:id="3"/>
    <w:tbl>
      <w:tblPr>
        <w:tblStyle w:val="39"/>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vAlign w:val="top"/>
          </w:tcPr>
          <w:p>
            <w:pPr>
              <w:pStyle w:val="5"/>
              <w:widowControl w:val="0"/>
              <w:jc w:val="both"/>
            </w:pPr>
            <w:bookmarkStart w:id="4" w:name="_Toc161750973"/>
            <w:r>
              <w:t>6.5.3.2</w:t>
            </w:r>
            <w:r>
              <w:tab/>
            </w:r>
            <w:r>
              <w:t>Authorization using oauth client credential flow</w:t>
            </w:r>
            <w:bookmarkEnd w:id="4"/>
          </w:p>
          <w:p>
            <w:pPr>
              <w:widowControl w:val="0"/>
              <w:jc w:val="both"/>
              <w:rPr>
                <w:lang w:val="en-US" w:eastAsia="zh-CN"/>
              </w:rPr>
            </w:pPr>
            <w:r>
              <w:rPr>
                <w:lang w:val="en-US"/>
              </w:rPr>
              <w:t xml:space="preserve">If client credential flow </w:t>
            </w:r>
            <w:r>
              <w:t>is used f</w:t>
            </w:r>
            <w:r>
              <w:rPr>
                <w:lang w:val="en-US"/>
              </w:rPr>
              <w:t xml:space="preserve">or authorization of the API invoker by the AEF, the procedures in </w:t>
            </w:r>
            <w:bookmarkStart w:id="5" w:name="OLE_LINK5"/>
            <w:r>
              <w:rPr>
                <w:lang w:val="en-US"/>
              </w:rPr>
              <w:t>RFC 6749</w:t>
            </w:r>
            <w:bookmarkEnd w:id="5"/>
            <w:r>
              <w:rPr>
                <w:lang w:val="en-US"/>
              </w:rPr>
              <w:t xml:space="preserve"> [4] shall be followed with the following profile:</w:t>
            </w:r>
          </w:p>
          <w:p>
            <w:pPr>
              <w:pStyle w:val="81"/>
              <w:widowControl w:val="0"/>
              <w:jc w:val="both"/>
              <w:rPr>
                <w:lang w:val="en-US"/>
              </w:rPr>
            </w:pPr>
            <w:r>
              <w:rPr>
                <w:lang w:val="en-US"/>
              </w:rPr>
              <w:t>-</w:t>
            </w:r>
            <w:r>
              <w:rPr>
                <w:lang w:val="en-US"/>
              </w:rPr>
              <w:tab/>
            </w:r>
            <w:r>
              <w:rPr>
                <w:lang w:val="en-US"/>
              </w:rPr>
              <w:t xml:space="preserve">The access token request message may include the resource owner ID. </w:t>
            </w:r>
          </w:p>
          <w:p>
            <w:pPr>
              <w:pStyle w:val="62"/>
              <w:widowControl w:val="0"/>
              <w:jc w:val="both"/>
              <w:rPr>
                <w:lang w:val="en-US"/>
              </w:rPr>
            </w:pPr>
            <w:r>
              <w:rPr>
                <w:lang w:val="en-US"/>
              </w:rPr>
              <w:t xml:space="preserve">NOTE 1: If the API invoker is on a UE, the CCF obtains its GPSI during authentication. </w:t>
            </w:r>
          </w:p>
          <w:p>
            <w:pPr>
              <w:pStyle w:val="80"/>
              <w:widowControl w:val="0"/>
              <w:jc w:val="both"/>
              <w:rPr>
                <w:lang w:val="en-US"/>
              </w:rPr>
            </w:pPr>
            <w:r>
              <w:rPr>
                <w:lang w:val="en-US"/>
              </w:rPr>
              <w:t>Editor’s note: the mapping of API Invoker ID and GPSI is left for stage 3.</w:t>
            </w:r>
          </w:p>
          <w:p>
            <w:pPr>
              <w:pStyle w:val="81"/>
              <w:widowControl w:val="0"/>
              <w:jc w:val="both"/>
              <w:rPr>
                <w:highlight w:val="yellow"/>
                <w:lang w:val="en-US"/>
              </w:rPr>
            </w:pPr>
            <w:r>
              <w:rPr>
                <w:highlight w:val="yellow"/>
                <w:lang w:val="en-US"/>
              </w:rPr>
              <w:t>-</w:t>
            </w:r>
            <w:r>
              <w:rPr>
                <w:highlight w:val="yellow"/>
                <w:lang w:val="en-US"/>
              </w:rPr>
              <w:tab/>
            </w:r>
            <w:r>
              <w:rPr>
                <w:highlight w:val="yellow"/>
                <w:lang w:val="en-US"/>
              </w:rPr>
              <w:t xml:space="preserve">The CCF </w:t>
            </w:r>
            <w:bookmarkStart w:id="6" w:name="OLE_LINK3"/>
            <w:r>
              <w:rPr>
                <w:highlight w:val="yellow"/>
                <w:lang w:val="en-US"/>
              </w:rPr>
              <w:t xml:space="preserve">shall check whether the API invoker </w:t>
            </w:r>
            <w:bookmarkEnd w:id="6"/>
            <w:r>
              <w:rPr>
                <w:highlight w:val="yellow"/>
                <w:lang w:val="en-US"/>
              </w:rPr>
              <w:t xml:space="preserve">is entitled to consume the API and </w:t>
            </w:r>
            <w:bookmarkStart w:id="7" w:name="OLE_LINK4"/>
            <w:r>
              <w:rPr>
                <w:highlight w:val="yellow"/>
                <w:lang w:val="en-US"/>
              </w:rPr>
              <w:t>allowed to access the resources of the resource owner</w:t>
            </w:r>
            <w:bookmarkEnd w:id="7"/>
            <w:r>
              <w:rPr>
                <w:highlight w:val="yellow"/>
                <w:lang w:val="en-US"/>
              </w:rPr>
              <w:t xml:space="preserve">, </w:t>
            </w:r>
            <w:bookmarkStart w:id="8" w:name="OLE_LINK6"/>
            <w:r>
              <w:rPr>
                <w:highlight w:val="yellow"/>
                <w:lang w:val="en-US"/>
              </w:rPr>
              <w:t>by using authorization information available in the CCF</w:t>
            </w:r>
            <w:bookmarkEnd w:id="8"/>
            <w:r>
              <w:rPr>
                <w:highlight w:val="yellow"/>
                <w:lang w:val="en-US"/>
              </w:rPr>
              <w:t>.</w:t>
            </w:r>
          </w:p>
          <w:p>
            <w:pPr>
              <w:pStyle w:val="81"/>
              <w:widowControl w:val="0"/>
              <w:jc w:val="both"/>
              <w:rPr>
                <w:highlight w:val="yellow"/>
                <w:lang w:val="en-US"/>
              </w:rPr>
            </w:pPr>
            <w:r>
              <w:rPr>
                <w:highlight w:val="yellow"/>
                <w:lang w:val="en-US"/>
              </w:rPr>
              <w:t>-</w:t>
            </w:r>
            <w:r>
              <w:rPr>
                <w:highlight w:val="yellow"/>
                <w:lang w:val="en-US"/>
              </w:rPr>
              <w:tab/>
            </w:r>
            <w:r>
              <w:rPr>
                <w:highlight w:val="yellow"/>
                <w:lang w:val="en-US"/>
              </w:rPr>
              <w:t xml:space="preserve">If the API invoker is on a UE, the CCF shall check that the UE is accessing its own resources. If the API invoker is an AF not on a UE, the check is omitted. </w:t>
            </w:r>
          </w:p>
          <w:p>
            <w:pPr>
              <w:pStyle w:val="62"/>
              <w:widowControl w:val="0"/>
              <w:jc w:val="both"/>
            </w:pPr>
            <w:r>
              <w:t>NOTE 2: How to get the authorization from the resource owner and store it in the CCF is out of scope of the present document.</w:t>
            </w:r>
          </w:p>
          <w:p>
            <w:pPr>
              <w:pStyle w:val="5"/>
              <w:widowControl w:val="0"/>
              <w:jc w:val="both"/>
            </w:pPr>
            <w:bookmarkStart w:id="9" w:name="_Toc161750974"/>
            <w:r>
              <w:t>6.5.3.3</w:t>
            </w:r>
            <w:r>
              <w:tab/>
            </w:r>
            <w:r>
              <w:t>Authorization using authorization code (optional PKCE) flow</w:t>
            </w:r>
            <w:bookmarkEnd w:id="9"/>
            <w:r>
              <w:t xml:space="preserve"> </w:t>
            </w:r>
          </w:p>
          <w:p>
            <w:pPr>
              <w:widowControl w:val="0"/>
              <w:jc w:val="both"/>
            </w:pPr>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w:t>
            </w:r>
            <w:r>
              <w:t xml:space="preserve"> </w:t>
            </w:r>
            <w:r>
              <w:rPr>
                <w:lang w:val="en-US"/>
              </w:rPr>
              <w:t>shall be followed, with the following profile:</w:t>
            </w:r>
          </w:p>
          <w:p>
            <w:pPr>
              <w:pStyle w:val="81"/>
              <w:widowControl w:val="0"/>
              <w:jc w:val="both"/>
              <w:rPr>
                <w:lang w:val="en-US"/>
              </w:rPr>
            </w:pPr>
            <w:r>
              <w:rPr>
                <w:lang w:val="en-US"/>
              </w:rPr>
              <w:t>-</w:t>
            </w:r>
            <w:r>
              <w:rPr>
                <w:lang w:val="en-US"/>
              </w:rPr>
              <w:tab/>
            </w:r>
            <w:r>
              <w:rPr>
                <w:lang w:val="en-US"/>
              </w:rPr>
              <w:t xml:space="preserve">The authorization token and/or authorization request may include the resource owner ID. </w:t>
            </w:r>
          </w:p>
          <w:p>
            <w:pPr>
              <w:pStyle w:val="62"/>
              <w:widowControl w:val="0"/>
              <w:jc w:val="both"/>
              <w:rPr>
                <w:lang w:val="en-US"/>
              </w:rPr>
            </w:pPr>
            <w:r>
              <w:rPr>
                <w:lang w:val="en-US"/>
              </w:rPr>
              <w:t xml:space="preserve">NOTE: If the API invoker is on a UE, the CCF obtains its GPSI during authentication. </w:t>
            </w:r>
          </w:p>
          <w:p>
            <w:pPr>
              <w:pStyle w:val="80"/>
              <w:widowControl w:val="0"/>
              <w:jc w:val="both"/>
              <w:rPr>
                <w:lang w:val="en-US"/>
              </w:rPr>
            </w:pPr>
            <w:r>
              <w:rPr>
                <w:lang w:val="en-US"/>
              </w:rPr>
              <w:t>Editor's note: the mapping of API Invoker ID and GPSI is left for stage 3.</w:t>
            </w:r>
          </w:p>
          <w:p>
            <w:pPr>
              <w:pStyle w:val="81"/>
              <w:widowControl w:val="0"/>
              <w:jc w:val="both"/>
              <w:rPr>
                <w:highlight w:val="yellow"/>
                <w:lang w:val="en-US"/>
              </w:rPr>
            </w:pPr>
            <w:r>
              <w:rPr>
                <w:highlight w:val="yellow"/>
                <w:lang w:val="en-US"/>
              </w:rPr>
              <w:t>-</w:t>
            </w:r>
            <w:r>
              <w:rPr>
                <w:highlight w:val="yellow"/>
                <w:lang w:val="en-US"/>
              </w:rPr>
              <w:tab/>
            </w:r>
            <w:r>
              <w:rPr>
                <w:highlight w:val="yellow"/>
                <w:lang w:val="en-US"/>
              </w:rPr>
              <w:t xml:space="preserve">The resource owner dynamically authorizes the API invoker to access the resource owner's resources as described in RFC 6749 [4] and optionally RFC </w:t>
            </w:r>
            <w:r>
              <w:rPr>
                <w:highlight w:val="yellow"/>
              </w:rPr>
              <w:t>7636</w:t>
            </w:r>
            <w:r>
              <w:rPr>
                <w:highlight w:val="yellow"/>
                <w:lang w:val="en-US"/>
              </w:rPr>
              <w:t xml:space="preserve"> [11].</w:t>
            </w:r>
          </w:p>
          <w:p>
            <w:pPr>
              <w:pStyle w:val="81"/>
              <w:widowControl w:val="0"/>
              <w:jc w:val="both"/>
              <w:rPr>
                <w:rFonts w:hint="default"/>
                <w:vertAlign w:val="baseline"/>
                <w:lang w:val="en-US" w:eastAsia="zh-CN"/>
              </w:rPr>
            </w:pPr>
            <w:r>
              <w:rPr>
                <w:highlight w:val="yellow"/>
                <w:lang w:val="en-US"/>
              </w:rPr>
              <w:t>-</w:t>
            </w:r>
            <w:r>
              <w:rPr>
                <w:highlight w:val="yellow"/>
                <w:lang w:val="en-US"/>
              </w:rPr>
              <w:tab/>
            </w:r>
            <w:r>
              <w:rPr>
                <w:highlight w:val="yellow"/>
                <w:lang w:val="en-US"/>
              </w:rPr>
              <w:t xml:space="preserve">If the API invoker is on a UE, the CCF shall check that the UE is accessing its own resources. </w:t>
            </w:r>
            <w:r>
              <w:rPr>
                <w:lang w:val="en-US"/>
              </w:rPr>
              <w:t xml:space="preserve">The access token shall contain the resource owner ID (i.e. GPSI) and the API invoker ID. If the API invoker is an AF not on a UE, the check is omitted. </w:t>
            </w:r>
          </w:p>
        </w:tc>
      </w:tr>
    </w:tbl>
    <w:p>
      <w:pPr>
        <w:numPr>
          <w:ilvl w:val="0"/>
          <w:numId w:val="0"/>
        </w:numPr>
        <w:ind w:leftChars="0"/>
        <w:rPr>
          <w:rFonts w:hint="default"/>
          <w:lang w:val="en-US" w:eastAsia="zh-CN"/>
        </w:rPr>
      </w:pPr>
    </w:p>
    <w:p>
      <w:pPr>
        <w:rPr>
          <w:rFonts w:hint="eastAsia"/>
          <w:lang w:val="en-US" w:eastAsia="zh-CN"/>
        </w:rPr>
      </w:pPr>
      <w:r>
        <w:rPr>
          <w:rFonts w:hint="eastAsia" w:eastAsia="宋体"/>
          <w:lang w:val="en-US" w:eastAsia="zh-CN"/>
        </w:rPr>
        <w:t xml:space="preserve">Based on these statements, the procedure for limiting </w:t>
      </w:r>
      <w:r>
        <w:rPr>
          <w:rFonts w:hint="eastAsia"/>
          <w:lang w:val="en-US" w:eastAsia="zh-CN"/>
        </w:rPr>
        <w:t>a UE-deployed API invoker to access its own resources may be as follows.</w:t>
      </w:r>
    </w:p>
    <w:p>
      <w:pPr>
        <w:jc w:val="center"/>
        <w:rPr>
          <w:rFonts w:hint="eastAsia"/>
          <w:lang w:val="en-US" w:eastAsia="zh-CN"/>
        </w:rPr>
      </w:pPr>
      <w:r>
        <w:rPr>
          <w:rFonts w:hint="eastAsia"/>
          <w:lang w:val="en-US" w:eastAsia="zh-CN"/>
        </w:rPr>
        <w:object>
          <v:shape id="_x0000_i1025" o:spt="75" type="#_x0000_t75" style="height:264.9pt;width:388.6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numPr>
          <w:ilvl w:val="0"/>
          <w:numId w:val="2"/>
        </w:numPr>
        <w:rPr>
          <w:rFonts w:hint="default"/>
          <w:lang w:val="en-US" w:eastAsia="zh-CN"/>
        </w:rPr>
      </w:pPr>
      <w:r>
        <w:rPr>
          <w:rFonts w:hint="eastAsia"/>
          <w:lang w:val="en-US" w:eastAsia="zh-CN"/>
        </w:rPr>
        <w:t>A UE-deployed API invoker requests resource owner consent from resource owner.</w:t>
      </w:r>
    </w:p>
    <w:p>
      <w:pPr>
        <w:numPr>
          <w:ilvl w:val="0"/>
          <w:numId w:val="2"/>
        </w:numPr>
        <w:rPr>
          <w:rFonts w:hint="default"/>
          <w:lang w:val="en-US" w:eastAsia="zh-CN"/>
        </w:rPr>
      </w:pPr>
      <w:r>
        <w:rPr>
          <w:rFonts w:hint="eastAsia"/>
          <w:lang w:val="en-US" w:eastAsia="zh-CN"/>
        </w:rPr>
        <w:t>The resource owner authorizes the API invoker to access the resource owner</w:t>
      </w:r>
      <w:r>
        <w:rPr>
          <w:rFonts w:hint="default"/>
          <w:lang w:val="en-US" w:eastAsia="zh-CN"/>
        </w:rPr>
        <w:t>’</w:t>
      </w:r>
      <w:r>
        <w:rPr>
          <w:rFonts w:hint="eastAsia"/>
          <w:lang w:val="en-US" w:eastAsia="zh-CN"/>
        </w:rPr>
        <w:t>s resources, as described in RFC 6749 and optionally RFC 7636.</w:t>
      </w:r>
    </w:p>
    <w:p>
      <w:pPr>
        <w:numPr>
          <w:ilvl w:val="0"/>
          <w:numId w:val="2"/>
        </w:numPr>
        <w:rPr>
          <w:rFonts w:hint="default"/>
          <w:lang w:val="en-US" w:eastAsia="zh-CN"/>
        </w:rPr>
      </w:pPr>
      <w:r>
        <w:rPr>
          <w:rFonts w:hint="eastAsia"/>
          <w:lang w:val="en-US" w:eastAsia="zh-CN"/>
        </w:rPr>
        <w:t xml:space="preserve">The CCF receives the resource owner consent information from the resource owner. </w:t>
      </w:r>
    </w:p>
    <w:p>
      <w:pPr>
        <w:numPr>
          <w:ilvl w:val="0"/>
          <w:numId w:val="2"/>
        </w:numPr>
        <w:rPr>
          <w:rFonts w:hint="default"/>
          <w:lang w:val="en-US" w:eastAsia="zh-CN"/>
        </w:rPr>
      </w:pPr>
      <w:r>
        <w:rPr>
          <w:rFonts w:hint="eastAsia"/>
          <w:lang w:val="en-US" w:eastAsia="zh-CN"/>
        </w:rPr>
        <w:t xml:space="preserve">The CCF checks whether the API invoker is permitted to access the resources of the resource owner, using the authorization information available in the CCF. In this step, if the API invoker is on a UE, </w:t>
      </w:r>
      <w:bookmarkStart w:id="10" w:name="OLE_LINK7"/>
      <w:r>
        <w:rPr>
          <w:rFonts w:hint="eastAsia"/>
          <w:lang w:val="en-US" w:eastAsia="zh-CN"/>
        </w:rPr>
        <w:t xml:space="preserve">the CCF shall check </w:t>
      </w:r>
      <w:bookmarkStart w:id="11" w:name="OLE_LINK9"/>
      <w:r>
        <w:rPr>
          <w:rFonts w:hint="eastAsia"/>
          <w:lang w:val="en-US" w:eastAsia="zh-CN"/>
        </w:rPr>
        <w:t>that the UE is accessing its own resources.</w:t>
      </w:r>
    </w:p>
    <w:bookmarkEnd w:id="10"/>
    <w:bookmarkEnd w:id="11"/>
    <w:p>
      <w:pPr>
        <w:numPr>
          <w:ilvl w:val="0"/>
          <w:numId w:val="2"/>
        </w:numPr>
        <w:rPr>
          <w:rFonts w:hint="default"/>
          <w:lang w:val="en-US" w:eastAsia="zh-CN"/>
        </w:rPr>
      </w:pPr>
      <w:bookmarkStart w:id="12" w:name="OLE_LINK8"/>
      <w:r>
        <w:rPr>
          <w:rFonts w:hint="eastAsia"/>
          <w:lang w:val="en-US" w:eastAsia="zh-CN"/>
        </w:rPr>
        <w:t>If the check is successful, the access token will be sent to the API invoker.</w:t>
      </w:r>
    </w:p>
    <w:p>
      <w:pPr>
        <w:numPr>
          <w:ilvl w:val="0"/>
          <w:numId w:val="2"/>
        </w:numPr>
        <w:rPr>
          <w:rFonts w:hint="default"/>
          <w:lang w:val="en-US" w:eastAsia="zh-CN"/>
        </w:rPr>
      </w:pPr>
      <w:r>
        <w:rPr>
          <w:lang w:eastAsia="ja-JP"/>
        </w:rPr>
        <w:t>The API invoker sends service API invocation request to the A</w:t>
      </w:r>
      <w:r>
        <w:rPr>
          <w:rFonts w:hint="eastAsia" w:eastAsia="宋体"/>
          <w:lang w:val="en-US" w:eastAsia="zh-CN"/>
        </w:rPr>
        <w:t>EF</w:t>
      </w:r>
      <w:r>
        <w:rPr>
          <w:lang w:eastAsia="ja-JP"/>
        </w:rPr>
        <w:t xml:space="preserve"> </w:t>
      </w:r>
      <w:r>
        <w:rPr>
          <w:rFonts w:hint="eastAsia" w:eastAsia="宋体"/>
          <w:lang w:val="en-US" w:eastAsia="zh-CN"/>
        </w:rPr>
        <w:t xml:space="preserve">along </w:t>
      </w:r>
      <w:r>
        <w:rPr>
          <w:lang w:eastAsia="ja-JP"/>
        </w:rPr>
        <w:t xml:space="preserve">with the resource owner </w:t>
      </w:r>
      <w:r>
        <w:rPr>
          <w:rFonts w:hint="eastAsia" w:eastAsia="宋体"/>
          <w:lang w:val="en-US" w:eastAsia="zh-CN"/>
        </w:rPr>
        <w:t xml:space="preserve">consent </w:t>
      </w:r>
      <w:r>
        <w:rPr>
          <w:lang w:eastAsia="ja-JP"/>
        </w:rPr>
        <w:t>information</w:t>
      </w:r>
      <w:r>
        <w:rPr>
          <w:rFonts w:hint="eastAsia" w:eastAsia="宋体"/>
          <w:lang w:val="en-US" w:eastAsia="zh-CN"/>
        </w:rPr>
        <w:t>.</w:t>
      </w:r>
    </w:p>
    <w:bookmarkEnd w:id="12"/>
    <w:p>
      <w:pPr>
        <w:bidi w:val="0"/>
        <w:rPr>
          <w:rFonts w:hint="default" w:eastAsia="宋体"/>
          <w:lang w:val="en-US" w:eastAsia="zh-CN"/>
        </w:rPr>
      </w:pPr>
      <w:r>
        <w:rPr>
          <w:rFonts w:hint="eastAsia"/>
          <w:b/>
          <w:bCs/>
          <w:lang w:val="en-US" w:eastAsia="zh-CN"/>
        </w:rPr>
        <w:t>Observation 1:</w:t>
      </w:r>
      <w:r>
        <w:rPr>
          <w:rFonts w:hint="eastAsia"/>
          <w:b/>
          <w:bCs/>
          <w:lang w:val="en-US" w:eastAsia="zh-CN"/>
        </w:rPr>
        <w:tab/>
      </w:r>
      <w:r>
        <w:rPr>
          <w:rFonts w:hint="eastAsia"/>
          <w:b/>
          <w:bCs/>
          <w:lang w:val="en-US" w:eastAsia="zh-CN"/>
        </w:rPr>
        <w:t>CCF is used to check the resource owner consent, and limit a UE-deployed API invoker to access its own resources only.</w:t>
      </w:r>
    </w:p>
    <w:p>
      <w:pPr>
        <w:numPr>
          <w:ilvl w:val="0"/>
          <w:numId w:val="0"/>
        </w:numPr>
        <w:rPr>
          <w:rFonts w:hint="eastAsia"/>
          <w:lang w:val="en-US" w:eastAsia="zh-CN"/>
        </w:rPr>
      </w:pPr>
      <w:r>
        <w:rPr>
          <w:rFonts w:hint="eastAsia"/>
          <w:lang w:val="en-US" w:eastAsia="zh-CN"/>
        </w:rPr>
        <w:t>In Rel-18, the relevant statement about CCF checking whether the UE is accessing its own resources is contained in TS 33.122. If this mechanism is proposed for enhancement, we should consider sending a LS to SA3 to inquire whether the issue will be discussed there. If not, SA6 will undertake the study of the issue.</w:t>
      </w:r>
    </w:p>
    <w:p>
      <w:pPr>
        <w:numPr>
          <w:ilvl w:val="0"/>
          <w:numId w:val="0"/>
        </w:numPr>
        <w:rPr>
          <w:rFonts w:hint="default"/>
          <w:b/>
          <w:bCs/>
          <w:lang w:val="en-US" w:eastAsia="zh-CN"/>
        </w:rPr>
      </w:pPr>
      <w:r>
        <w:rPr>
          <w:rFonts w:hint="eastAsia"/>
          <w:b/>
          <w:bCs/>
          <w:lang w:val="en-US" w:eastAsia="zh-CN"/>
        </w:rPr>
        <w:t>Observation 2:</w:t>
      </w:r>
      <w:r>
        <w:rPr>
          <w:rFonts w:hint="eastAsia"/>
          <w:b/>
          <w:bCs/>
          <w:lang w:val="en-US" w:eastAsia="zh-CN"/>
        </w:rPr>
        <w:tab/>
      </w:r>
      <w:r>
        <w:rPr>
          <w:rFonts w:hint="eastAsia"/>
          <w:b/>
          <w:bCs/>
          <w:lang w:val="en-US" w:eastAsia="zh-CN"/>
        </w:rPr>
        <w:t>It is necessary to clarify whether this issue falls in the discussion scope of SA3 or SA6.</w:t>
      </w:r>
    </w:p>
    <w:p>
      <w:pPr>
        <w:rPr>
          <w:rFonts w:hint="default"/>
          <w:b/>
          <w:bCs/>
          <w:lang w:val="en-US" w:eastAsia="zh-CN"/>
        </w:rPr>
      </w:pPr>
      <w:r>
        <w:rPr>
          <w:rFonts w:hint="eastAsia"/>
          <w:b/>
          <w:bCs/>
          <w:lang w:val="en-US" w:eastAsia="zh-CN"/>
        </w:rPr>
        <w:t>Proposal 1:</w:t>
      </w:r>
      <w:r>
        <w:rPr>
          <w:rFonts w:hint="eastAsia"/>
          <w:b/>
          <w:bCs/>
          <w:lang w:val="en-US" w:eastAsia="zh-CN"/>
        </w:rPr>
        <w:tab/>
      </w:r>
      <w:r>
        <w:rPr>
          <w:rFonts w:hint="eastAsia"/>
          <w:b/>
          <w:bCs/>
          <w:lang w:val="en-US" w:eastAsia="zh-CN"/>
        </w:rPr>
        <w:t>A LS shall be sent to SA3 to ascertain if this issue will be discussed there.</w:t>
      </w:r>
    </w:p>
    <w:p>
      <w:pPr>
        <w:numPr>
          <w:ilvl w:val="0"/>
          <w:numId w:val="0"/>
        </w:numPr>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t>After clarifying these information, if this issue is still being addressed in SA6, there are main issues to be addressed.</w:t>
      </w:r>
    </w:p>
    <w:p>
      <w:pPr>
        <w:numPr>
          <w:ilvl w:val="0"/>
          <w:numId w:val="3"/>
        </w:numPr>
        <w:overflowPunct w:val="0"/>
        <w:autoSpaceDE w:val="0"/>
        <w:autoSpaceDN w:val="0"/>
        <w:adjustRightInd w:val="0"/>
        <w:spacing w:after="180"/>
        <w:ind w:left="420" w:leftChars="0" w:hanging="420" w:firstLineChars="0"/>
        <w:textAlignment w:val="baseline"/>
        <w:rPr>
          <w:rFonts w:hint="default" w:eastAsia="宋体"/>
          <w:lang w:val="en-US" w:eastAsia="zh-CN"/>
        </w:rPr>
      </w:pPr>
      <w:r>
        <w:rPr>
          <w:rFonts w:hint="eastAsia" w:eastAsia="宋体"/>
          <w:lang w:val="en-US" w:eastAsia="zh-CN"/>
        </w:rPr>
        <w:t xml:space="preserve">Q1: </w:t>
      </w:r>
      <w:r>
        <w:rPr>
          <w:rFonts w:hint="default" w:eastAsia="宋体"/>
          <w:lang w:val="en-US" w:eastAsia="zh-CN"/>
        </w:rPr>
        <w:t xml:space="preserve">Which module </w:t>
      </w:r>
      <w:r>
        <w:rPr>
          <w:rFonts w:hint="eastAsia" w:eastAsia="宋体"/>
          <w:lang w:val="en-US" w:eastAsia="zh-CN"/>
        </w:rPr>
        <w:t xml:space="preserve">is responsible for </w:t>
      </w:r>
      <w:r>
        <w:rPr>
          <w:rFonts w:hint="default" w:eastAsia="宋体"/>
          <w:lang w:val="en-US" w:eastAsia="zh-CN"/>
        </w:rPr>
        <w:t>check</w:t>
      </w:r>
      <w:r>
        <w:rPr>
          <w:rFonts w:hint="eastAsia" w:eastAsia="宋体"/>
          <w:lang w:val="en-US" w:eastAsia="zh-CN"/>
        </w:rPr>
        <w:t>ing</w:t>
      </w:r>
      <w:r>
        <w:rPr>
          <w:rFonts w:hint="default" w:eastAsia="宋体"/>
          <w:lang w:val="en-US" w:eastAsia="zh-CN"/>
        </w:rPr>
        <w:t xml:space="preserve"> whether one UE can access another UE's resources.</w:t>
      </w:r>
    </w:p>
    <w:p>
      <w:pPr>
        <w:numPr>
          <w:ilvl w:val="0"/>
          <w:numId w:val="3"/>
        </w:numPr>
        <w:overflowPunct w:val="0"/>
        <w:autoSpaceDE w:val="0"/>
        <w:autoSpaceDN w:val="0"/>
        <w:adjustRightInd w:val="0"/>
        <w:spacing w:after="180"/>
        <w:ind w:left="420" w:leftChars="0" w:hanging="420" w:firstLineChars="0"/>
        <w:textAlignment w:val="baseline"/>
        <w:rPr>
          <w:rFonts w:hint="default" w:eastAsia="宋体"/>
          <w:lang w:val="en-US" w:eastAsia="zh-CN"/>
        </w:rPr>
      </w:pPr>
      <w:r>
        <w:rPr>
          <w:rFonts w:hint="eastAsia" w:eastAsia="宋体"/>
          <w:lang w:val="en-US" w:eastAsia="zh-CN"/>
        </w:rPr>
        <w:t xml:space="preserve">Q2: which </w:t>
      </w:r>
      <w:r>
        <w:rPr>
          <w:rFonts w:hint="default" w:eastAsia="宋体"/>
          <w:lang w:val="en-US" w:eastAsia="zh-CN"/>
        </w:rPr>
        <w:t>type</w:t>
      </w:r>
      <w:r>
        <w:rPr>
          <w:rFonts w:hint="eastAsia" w:eastAsia="宋体"/>
          <w:lang w:val="en-US" w:eastAsia="zh-CN"/>
        </w:rPr>
        <w:t>s</w:t>
      </w:r>
      <w:r>
        <w:rPr>
          <w:rFonts w:hint="default" w:eastAsia="宋体"/>
          <w:lang w:val="en-US" w:eastAsia="zh-CN"/>
        </w:rPr>
        <w:t xml:space="preserve"> of UE </w:t>
      </w:r>
      <w:r>
        <w:rPr>
          <w:rFonts w:hint="eastAsia" w:eastAsia="宋体"/>
          <w:lang w:val="en-US" w:eastAsia="zh-CN"/>
        </w:rPr>
        <w:t xml:space="preserve">are allowed to </w:t>
      </w:r>
      <w:r>
        <w:rPr>
          <w:rFonts w:hint="default" w:eastAsia="宋体"/>
          <w:lang w:val="en-US" w:eastAsia="zh-CN"/>
        </w:rPr>
        <w:t>access the resources of other UEs.</w:t>
      </w:r>
    </w:p>
    <w:p>
      <w:pPr>
        <w:numPr>
          <w:ilvl w:val="0"/>
          <w:numId w:val="0"/>
        </w:numPr>
        <w:overflowPunct w:val="0"/>
        <w:autoSpaceDE w:val="0"/>
        <w:autoSpaceDN w:val="0"/>
        <w:adjustRightInd w:val="0"/>
        <w:spacing w:after="180"/>
        <w:textAlignment w:val="baseline"/>
        <w:rPr>
          <w:rFonts w:hint="eastAsia"/>
          <w:lang w:val="en-US" w:eastAsia="zh-CN"/>
        </w:rPr>
      </w:pPr>
      <w:r>
        <w:rPr>
          <w:rFonts w:hint="eastAsia" w:eastAsia="宋体"/>
          <w:lang w:val="en-US" w:eastAsia="zh-CN"/>
        </w:rPr>
        <w:t xml:space="preserve">In Rel-18, the resource owner consent check is performed by CCF, and the authorization mechanism for API invokers is managed by the resource owner, as described in RFC 6749. If we aim to support </w:t>
      </w:r>
      <w:r>
        <w:rPr>
          <w:rFonts w:hint="eastAsia"/>
          <w:lang w:val="en-US" w:eastAsia="zh-CN"/>
        </w:rPr>
        <w:t>a UE-deployed API invoker accessing another UE</w:t>
      </w:r>
      <w:r>
        <w:rPr>
          <w:rFonts w:hint="default"/>
          <w:lang w:val="en-US" w:eastAsia="zh-CN"/>
        </w:rPr>
        <w:t>’</w:t>
      </w:r>
      <w:r>
        <w:rPr>
          <w:rFonts w:hint="eastAsia"/>
          <w:lang w:val="en-US" w:eastAsia="zh-CN"/>
        </w:rPr>
        <w:t>s resources in Rel-19, there are two candidate options regarding the module executing the check.</w:t>
      </w:r>
    </w:p>
    <w:p>
      <w:pPr>
        <w:numPr>
          <w:ilvl w:val="0"/>
          <w:numId w:val="4"/>
        </w:numPr>
        <w:overflowPunct w:val="0"/>
        <w:autoSpaceDE w:val="0"/>
        <w:autoSpaceDN w:val="0"/>
        <w:adjustRightInd w:val="0"/>
        <w:spacing w:after="180"/>
        <w:ind w:left="420" w:leftChars="0" w:hanging="420" w:firstLineChars="0"/>
        <w:textAlignment w:val="baseline"/>
        <w:rPr>
          <w:rFonts w:hint="default"/>
          <w:lang w:val="en-US" w:eastAsia="zh-CN"/>
        </w:rPr>
      </w:pPr>
      <w:r>
        <w:rPr>
          <w:rFonts w:hint="eastAsia"/>
          <w:lang w:val="en-US" w:eastAsia="zh-CN"/>
        </w:rPr>
        <w:t xml:space="preserve">Option 1: </w:t>
      </w:r>
      <w:bookmarkStart w:id="13" w:name="OLE_LINK1"/>
      <w:r>
        <w:rPr>
          <w:rFonts w:hint="eastAsia"/>
          <w:lang w:val="en-US" w:eastAsia="zh-CN"/>
        </w:rPr>
        <w:t>An enhanced check mechanism is provided by the CCF.</w:t>
      </w:r>
    </w:p>
    <w:bookmarkEnd w:id="13"/>
    <w:p>
      <w:pPr>
        <w:numPr>
          <w:ilvl w:val="0"/>
          <w:numId w:val="4"/>
        </w:numPr>
        <w:overflowPunct w:val="0"/>
        <w:autoSpaceDE w:val="0"/>
        <w:autoSpaceDN w:val="0"/>
        <w:adjustRightInd w:val="0"/>
        <w:spacing w:after="180"/>
        <w:ind w:left="420" w:leftChars="0" w:hanging="420" w:firstLineChars="0"/>
        <w:textAlignment w:val="baseline"/>
        <w:rPr>
          <w:rFonts w:hint="default"/>
          <w:lang w:val="en-US" w:eastAsia="zh-CN"/>
        </w:rPr>
      </w:pPr>
      <w:r>
        <w:rPr>
          <w:rFonts w:hint="eastAsia"/>
          <w:lang w:val="en-US" w:eastAsia="zh-CN"/>
        </w:rPr>
        <w:t>Option 2: An enhanced authorization mechanism is provided by the resource owner.</w:t>
      </w:r>
    </w:p>
    <w:p>
      <w:pPr>
        <w:numPr>
          <w:ilvl w:val="0"/>
          <w:numId w:val="0"/>
        </w:numPr>
        <w:overflowPunct w:val="0"/>
        <w:autoSpaceDE w:val="0"/>
        <w:autoSpaceDN w:val="0"/>
        <w:adjustRightInd w:val="0"/>
        <w:spacing w:after="180"/>
        <w:textAlignment w:val="baseline"/>
        <w:rPr>
          <w:rFonts w:hint="eastAsia"/>
          <w:lang w:val="en-US" w:eastAsia="zh-CN"/>
        </w:rPr>
      </w:pPr>
      <w:r>
        <w:rPr>
          <w:rFonts w:hint="eastAsia"/>
          <w:lang w:val="en-US" w:eastAsia="zh-CN"/>
        </w:rPr>
        <w:t>Since the authorization mechanism of the resource owner falls outside the scope of 3GPP, it is more suitable to employ an enhanced check mechanism facilitated by the CCF.</w:t>
      </w:r>
    </w:p>
    <w:p>
      <w:pPr>
        <w:numPr>
          <w:ilvl w:val="0"/>
          <w:numId w:val="0"/>
        </w:numPr>
        <w:overflowPunct w:val="0"/>
        <w:autoSpaceDE w:val="0"/>
        <w:autoSpaceDN w:val="0"/>
        <w:adjustRightInd w:val="0"/>
        <w:spacing w:after="180"/>
        <w:textAlignment w:val="baseline"/>
        <w:rPr>
          <w:rFonts w:hint="eastAsia"/>
          <w:b/>
          <w:bCs/>
          <w:lang w:val="en-US" w:eastAsia="zh-CN"/>
        </w:rPr>
      </w:pPr>
      <w:r>
        <w:rPr>
          <w:rFonts w:hint="eastAsia"/>
          <w:b/>
          <w:bCs/>
          <w:lang w:val="en-US" w:eastAsia="zh-CN"/>
        </w:rPr>
        <w:t>Proposal 2:</w:t>
      </w:r>
      <w:r>
        <w:rPr>
          <w:rFonts w:hint="eastAsia"/>
          <w:b/>
          <w:bCs/>
          <w:lang w:val="en-US" w:eastAsia="zh-CN"/>
        </w:rPr>
        <w:tab/>
      </w:r>
      <w:r>
        <w:rPr>
          <w:rFonts w:hint="eastAsia"/>
          <w:b/>
          <w:bCs/>
          <w:lang w:val="en-US" w:eastAsia="zh-CN"/>
        </w:rPr>
        <w:t>The resource owner consent check mechanism is performed by the CCF.</w:t>
      </w:r>
    </w:p>
    <w:p>
      <w:pPr>
        <w:numPr>
          <w:ilvl w:val="0"/>
          <w:numId w:val="0"/>
        </w:numPr>
        <w:overflowPunct w:val="0"/>
        <w:autoSpaceDE w:val="0"/>
        <w:autoSpaceDN w:val="0"/>
        <w:adjustRightInd w:val="0"/>
        <w:spacing w:after="180"/>
        <w:textAlignment w:val="baseline"/>
        <w:rPr>
          <w:rFonts w:hint="eastAsia"/>
          <w:lang w:val="en-US" w:eastAsia="zh-CN"/>
        </w:rPr>
      </w:pPr>
      <w:r>
        <w:rPr>
          <w:rFonts w:hint="eastAsia"/>
          <w:lang w:val="en-US" w:eastAsia="zh-CN"/>
        </w:rPr>
        <w:t>Regarding Q2, several options are available.</w:t>
      </w:r>
    </w:p>
    <w:p>
      <w:pPr>
        <w:numPr>
          <w:ilvl w:val="0"/>
          <w:numId w:val="4"/>
        </w:numPr>
        <w:overflowPunct w:val="0"/>
        <w:autoSpaceDE w:val="0"/>
        <w:autoSpaceDN w:val="0"/>
        <w:adjustRightInd w:val="0"/>
        <w:spacing w:after="180"/>
        <w:ind w:left="420" w:leftChars="0" w:hanging="420" w:firstLineChars="0"/>
        <w:textAlignment w:val="baseline"/>
        <w:rPr>
          <w:rFonts w:hint="eastAsia"/>
          <w:lang w:val="en-US" w:eastAsia="zh-CN"/>
        </w:rPr>
      </w:pPr>
      <w:r>
        <w:rPr>
          <w:rFonts w:hint="eastAsia"/>
          <w:lang w:val="en-US" w:eastAsia="zh-CN"/>
        </w:rPr>
        <w:t>Option 1: If the API invoker is deployed on a UE and has already been authenticated by the CCF, the CCF will grant it access to resources on another UE.</w:t>
      </w:r>
    </w:p>
    <w:p>
      <w:pPr>
        <w:numPr>
          <w:ilvl w:val="0"/>
          <w:numId w:val="4"/>
        </w:numPr>
        <w:overflowPunct w:val="0"/>
        <w:autoSpaceDE w:val="0"/>
        <w:autoSpaceDN w:val="0"/>
        <w:adjustRightInd w:val="0"/>
        <w:spacing w:after="180"/>
        <w:ind w:left="420" w:leftChars="0" w:hanging="420" w:firstLineChars="0"/>
        <w:textAlignment w:val="baseline"/>
        <w:rPr>
          <w:rFonts w:hint="eastAsia"/>
          <w:lang w:val="en-US" w:eastAsia="zh-CN"/>
        </w:rPr>
      </w:pPr>
      <w:r>
        <w:rPr>
          <w:rFonts w:hint="eastAsia"/>
          <w:lang w:val="en-US" w:eastAsia="zh-CN"/>
        </w:rPr>
        <w:t>Option 2: If both the UE-deployed API invoker and the requested UE-deployed resource owner are all join in the same application service, the CCF will authorize it to access requested resources.</w:t>
      </w:r>
    </w:p>
    <w:p>
      <w:pPr>
        <w:numPr>
          <w:ilvl w:val="0"/>
          <w:numId w:val="4"/>
        </w:numPr>
        <w:overflowPunct w:val="0"/>
        <w:autoSpaceDE w:val="0"/>
        <w:autoSpaceDN w:val="0"/>
        <w:adjustRightInd w:val="0"/>
        <w:spacing w:after="180"/>
        <w:ind w:left="420" w:leftChars="0" w:hanging="420" w:firstLineChars="0"/>
        <w:textAlignment w:val="baseline"/>
        <w:rPr>
          <w:rFonts w:hint="default"/>
          <w:lang w:val="en-US" w:eastAsia="zh-CN"/>
        </w:rPr>
      </w:pPr>
      <w:r>
        <w:rPr>
          <w:rFonts w:hint="eastAsia"/>
          <w:lang w:val="en-US" w:eastAsia="zh-CN"/>
        </w:rPr>
        <w:t>Option 3: The check mechanism for resource owner consent is up to the implementation of CCF.</w:t>
      </w:r>
    </w:p>
    <w:p>
      <w:pPr>
        <w:numPr>
          <w:ilvl w:val="0"/>
          <w:numId w:val="0"/>
        </w:numPr>
        <w:overflowPunct w:val="0"/>
        <w:autoSpaceDE w:val="0"/>
        <w:autoSpaceDN w:val="0"/>
        <w:adjustRightInd w:val="0"/>
        <w:spacing w:after="180"/>
        <w:textAlignment w:val="baseline"/>
        <w:rPr>
          <w:rFonts w:hint="default"/>
          <w:b/>
          <w:bCs/>
          <w:lang w:val="en-US" w:eastAsia="zh-CN"/>
        </w:rPr>
      </w:pPr>
      <w:bookmarkStart w:id="14" w:name="OLE_LINK10"/>
      <w:r>
        <w:rPr>
          <w:rFonts w:hint="eastAsia"/>
          <w:b/>
          <w:bCs/>
          <w:lang w:val="en-US" w:eastAsia="zh-CN"/>
        </w:rPr>
        <w:t xml:space="preserve">Proposal 3: </w:t>
      </w:r>
      <w:bookmarkStart w:id="15" w:name="OLE_LINK14"/>
      <w:r>
        <w:rPr>
          <w:rFonts w:hint="eastAsia"/>
          <w:b/>
          <w:bCs/>
          <w:lang w:val="en-US" w:eastAsia="zh-CN"/>
        </w:rPr>
        <w:t>Candidate types</w:t>
      </w:r>
      <w:bookmarkEnd w:id="15"/>
      <w:r>
        <w:rPr>
          <w:rFonts w:hint="eastAsia"/>
          <w:b/>
          <w:bCs/>
          <w:lang w:val="en-US" w:eastAsia="zh-CN"/>
        </w:rPr>
        <w:t xml:space="preserve"> of API invokers allowed to access other UE</w:t>
      </w:r>
      <w:r>
        <w:rPr>
          <w:rFonts w:hint="default"/>
          <w:b/>
          <w:bCs/>
          <w:lang w:val="en-US" w:eastAsia="zh-CN"/>
        </w:rPr>
        <w:t>’</w:t>
      </w:r>
      <w:r>
        <w:rPr>
          <w:rFonts w:hint="eastAsia"/>
          <w:b/>
          <w:bCs/>
          <w:lang w:val="en-US" w:eastAsia="zh-CN"/>
        </w:rPr>
        <w:t>s resources:</w:t>
      </w:r>
    </w:p>
    <w:p>
      <w:pPr>
        <w:numPr>
          <w:ilvl w:val="0"/>
          <w:numId w:val="4"/>
        </w:numPr>
        <w:overflowPunct w:val="0"/>
        <w:autoSpaceDE w:val="0"/>
        <w:autoSpaceDN w:val="0"/>
        <w:adjustRightInd w:val="0"/>
        <w:spacing w:after="180"/>
        <w:ind w:left="420" w:leftChars="0" w:hanging="420" w:firstLineChars="0"/>
        <w:textAlignment w:val="baseline"/>
        <w:rPr>
          <w:rFonts w:hint="eastAsia"/>
          <w:b/>
          <w:bCs/>
          <w:lang w:val="en-US" w:eastAsia="zh-CN"/>
        </w:rPr>
      </w:pPr>
      <w:r>
        <w:rPr>
          <w:rFonts w:hint="eastAsia"/>
          <w:b/>
          <w:bCs/>
          <w:lang w:val="en-US" w:eastAsia="zh-CN"/>
        </w:rPr>
        <w:t>Option 1: API invokers that have already been authenticated by CCF.</w:t>
      </w:r>
    </w:p>
    <w:p>
      <w:pPr>
        <w:numPr>
          <w:ilvl w:val="0"/>
          <w:numId w:val="4"/>
        </w:numPr>
        <w:overflowPunct w:val="0"/>
        <w:autoSpaceDE w:val="0"/>
        <w:autoSpaceDN w:val="0"/>
        <w:adjustRightInd w:val="0"/>
        <w:spacing w:after="180"/>
        <w:ind w:left="420" w:leftChars="0" w:hanging="420" w:firstLineChars="0"/>
        <w:textAlignment w:val="baseline"/>
        <w:rPr>
          <w:rFonts w:hint="eastAsia"/>
          <w:b/>
          <w:bCs/>
          <w:lang w:val="en-US" w:eastAsia="zh-CN"/>
        </w:rPr>
      </w:pPr>
      <w:r>
        <w:rPr>
          <w:rFonts w:hint="eastAsia"/>
          <w:b/>
          <w:bCs/>
          <w:lang w:val="en-US" w:eastAsia="zh-CN"/>
        </w:rPr>
        <w:t>Option 2: API invokers that have already joined in the same application service as the requested resource owner.</w:t>
      </w:r>
    </w:p>
    <w:p>
      <w:pPr>
        <w:numPr>
          <w:ilvl w:val="0"/>
          <w:numId w:val="4"/>
        </w:numPr>
        <w:overflowPunct w:val="0"/>
        <w:autoSpaceDE w:val="0"/>
        <w:autoSpaceDN w:val="0"/>
        <w:adjustRightInd w:val="0"/>
        <w:spacing w:after="180"/>
        <w:ind w:left="420" w:leftChars="0" w:hanging="420" w:firstLineChars="0"/>
        <w:textAlignment w:val="baseline"/>
        <w:rPr>
          <w:rFonts w:hint="eastAsia"/>
          <w:b/>
          <w:bCs/>
          <w:lang w:val="en-US" w:eastAsia="zh-CN"/>
        </w:rPr>
      </w:pPr>
      <w:r>
        <w:rPr>
          <w:rFonts w:hint="eastAsia"/>
          <w:b/>
          <w:bCs/>
          <w:lang w:val="en-US" w:eastAsia="zh-CN"/>
        </w:rPr>
        <w:t>Option 3: It is up to the implementation of CCF.</w:t>
      </w:r>
    </w:p>
    <w:bookmarkEnd w:id="14"/>
    <w:p>
      <w:pPr>
        <w:pStyle w:val="2"/>
        <w:numPr>
          <w:ilvl w:val="0"/>
          <w:numId w:val="1"/>
        </w:numPr>
        <w:bidi w:val="0"/>
        <w:ind w:left="1134" w:leftChars="0" w:hanging="1134" w:firstLineChars="0"/>
        <w:rPr>
          <w:rFonts w:hint="default"/>
          <w:lang w:val="en-US" w:eastAsia="zh-CN"/>
        </w:rPr>
      </w:pPr>
      <w:r>
        <w:rPr>
          <w:rFonts w:hint="eastAsia"/>
          <w:lang w:val="en-US" w:eastAsia="zh-CN"/>
        </w:rPr>
        <w:t>Conclusion</w:t>
      </w:r>
    </w:p>
    <w:p>
      <w:pPr>
        <w:rPr>
          <w:rFonts w:hint="eastAsia"/>
          <w:lang w:val="en-US" w:eastAsia="zh-CN"/>
        </w:rPr>
      </w:pPr>
      <w:r>
        <w:rPr>
          <w:rFonts w:hint="eastAsia"/>
          <w:lang w:val="en-US" w:eastAsia="zh-CN"/>
        </w:rPr>
        <w:t>In this discussion paper, we clarify the mechanism for limiting a UE-deployed API invoker to access its own resources in Rel-18 and then suggest to send a LS to SA3 to ask if this issue will be discussed there. Finally, an analysis related to the enhanced resource owner consent check mechanism is given. There are two key issues to be discussed.</w:t>
      </w:r>
    </w:p>
    <w:p>
      <w:pPr>
        <w:numPr>
          <w:ilvl w:val="0"/>
          <w:numId w:val="3"/>
        </w:numPr>
        <w:overflowPunct w:val="0"/>
        <w:autoSpaceDE w:val="0"/>
        <w:autoSpaceDN w:val="0"/>
        <w:adjustRightInd w:val="0"/>
        <w:spacing w:after="180"/>
        <w:ind w:left="420" w:leftChars="0" w:hanging="420" w:firstLineChars="0"/>
        <w:textAlignment w:val="baseline"/>
        <w:rPr>
          <w:rFonts w:hint="default" w:eastAsia="宋体"/>
          <w:lang w:val="en-US" w:eastAsia="zh-CN"/>
        </w:rPr>
      </w:pPr>
      <w:r>
        <w:rPr>
          <w:rFonts w:hint="eastAsia" w:eastAsia="宋体"/>
          <w:lang w:val="en-US" w:eastAsia="zh-CN"/>
        </w:rPr>
        <w:t xml:space="preserve">Q1: </w:t>
      </w:r>
      <w:r>
        <w:rPr>
          <w:rFonts w:hint="default" w:eastAsia="宋体"/>
          <w:lang w:val="en-US" w:eastAsia="zh-CN"/>
        </w:rPr>
        <w:t>Which module should check whether one UE can access another UE's resources.</w:t>
      </w:r>
    </w:p>
    <w:p>
      <w:pPr>
        <w:numPr>
          <w:ilvl w:val="0"/>
          <w:numId w:val="3"/>
        </w:numPr>
        <w:overflowPunct w:val="0"/>
        <w:autoSpaceDE w:val="0"/>
        <w:autoSpaceDN w:val="0"/>
        <w:adjustRightInd w:val="0"/>
        <w:spacing w:after="180"/>
        <w:ind w:left="420" w:leftChars="0" w:hanging="420" w:firstLineChars="0"/>
        <w:textAlignment w:val="baseline"/>
        <w:rPr>
          <w:rFonts w:hint="default" w:eastAsia="宋体"/>
          <w:lang w:val="en-US" w:eastAsia="zh-CN"/>
        </w:rPr>
      </w:pPr>
      <w:r>
        <w:rPr>
          <w:rFonts w:hint="eastAsia" w:eastAsia="宋体"/>
          <w:lang w:val="en-US" w:eastAsia="zh-CN"/>
        </w:rPr>
        <w:t xml:space="preserve">Q2: </w:t>
      </w:r>
      <w:r>
        <w:rPr>
          <w:rFonts w:hint="default" w:eastAsia="宋体"/>
          <w:lang w:val="en-US" w:eastAsia="zh-CN"/>
        </w:rPr>
        <w:t>What type of UE can access the resources of other UEs.</w:t>
      </w:r>
    </w:p>
    <w:p>
      <w:pPr>
        <w:rPr>
          <w:rFonts w:hint="eastAsia"/>
          <w:lang w:val="en-US" w:eastAsia="zh-CN"/>
        </w:rPr>
      </w:pPr>
      <w:r>
        <w:rPr>
          <w:rFonts w:hint="eastAsia"/>
          <w:lang w:val="en-US" w:eastAsia="zh-CN"/>
        </w:rPr>
        <w:t>For Q1, based on the relevant statement in Rel-18, it is more appropriate to check resource owner consent by CCF. For Q2, several candidate options are available to be discussed.</w:t>
      </w:r>
    </w:p>
    <w:p>
      <w:pPr>
        <w:rPr>
          <w:rFonts w:hint="eastAsia"/>
          <w:lang w:val="en-US" w:eastAsia="zh-CN"/>
        </w:rPr>
      </w:pPr>
      <w:r>
        <w:rPr>
          <w:rFonts w:hint="eastAsia"/>
          <w:lang w:val="en-US" w:eastAsia="zh-CN"/>
        </w:rPr>
        <w:t>The main observations and proposals are as follows:</w:t>
      </w:r>
    </w:p>
    <w:p>
      <w:pPr>
        <w:bidi w:val="0"/>
        <w:rPr>
          <w:rFonts w:hint="default" w:eastAsia="宋体"/>
          <w:lang w:val="en-US" w:eastAsia="zh-CN"/>
        </w:rPr>
      </w:pPr>
      <w:r>
        <w:rPr>
          <w:rFonts w:hint="eastAsia"/>
          <w:b/>
          <w:bCs/>
          <w:lang w:val="en-US" w:eastAsia="zh-CN"/>
        </w:rPr>
        <w:t>Observation 1:</w:t>
      </w:r>
      <w:r>
        <w:rPr>
          <w:rFonts w:hint="eastAsia"/>
          <w:b/>
          <w:bCs/>
          <w:lang w:val="en-US" w:eastAsia="zh-CN"/>
        </w:rPr>
        <w:tab/>
      </w:r>
      <w:r>
        <w:rPr>
          <w:rFonts w:hint="eastAsia"/>
          <w:b/>
          <w:bCs/>
          <w:lang w:val="en-US" w:eastAsia="zh-CN"/>
        </w:rPr>
        <w:t>CCF is used to check the resource owner consent, and limit a UE-deployed API invoker to access its own resources only.</w:t>
      </w:r>
    </w:p>
    <w:p>
      <w:pPr>
        <w:numPr>
          <w:ilvl w:val="0"/>
          <w:numId w:val="0"/>
        </w:numPr>
        <w:rPr>
          <w:rFonts w:hint="default"/>
          <w:b/>
          <w:bCs/>
          <w:lang w:val="en-US" w:eastAsia="zh-CN"/>
        </w:rPr>
      </w:pPr>
      <w:r>
        <w:rPr>
          <w:rFonts w:hint="eastAsia"/>
          <w:b/>
          <w:bCs/>
          <w:lang w:val="en-US" w:eastAsia="zh-CN"/>
        </w:rPr>
        <w:t>Observation 2:</w:t>
      </w:r>
      <w:r>
        <w:rPr>
          <w:rFonts w:hint="eastAsia"/>
          <w:b/>
          <w:bCs/>
          <w:lang w:val="en-US" w:eastAsia="zh-CN"/>
        </w:rPr>
        <w:tab/>
      </w:r>
      <w:r>
        <w:rPr>
          <w:rFonts w:hint="eastAsia"/>
          <w:b/>
          <w:bCs/>
          <w:lang w:val="en-US" w:eastAsia="zh-CN"/>
        </w:rPr>
        <w:t>It is necessary to clarify whether this issue falls in the discussion scope of SA3 or SA6.</w:t>
      </w:r>
    </w:p>
    <w:p>
      <w:pPr>
        <w:rPr>
          <w:rFonts w:hint="default"/>
          <w:b/>
          <w:bCs/>
          <w:lang w:val="en-US" w:eastAsia="zh-CN"/>
        </w:rPr>
      </w:pPr>
      <w:r>
        <w:rPr>
          <w:rFonts w:hint="eastAsia"/>
          <w:b/>
          <w:bCs/>
          <w:lang w:val="en-US" w:eastAsia="zh-CN"/>
        </w:rPr>
        <w:t>Proposal 1:</w:t>
      </w:r>
      <w:r>
        <w:rPr>
          <w:rFonts w:hint="eastAsia"/>
          <w:b/>
          <w:bCs/>
          <w:lang w:val="en-US" w:eastAsia="zh-CN"/>
        </w:rPr>
        <w:tab/>
      </w:r>
      <w:r>
        <w:rPr>
          <w:rFonts w:hint="eastAsia"/>
          <w:b/>
          <w:bCs/>
          <w:lang w:val="en-US" w:eastAsia="zh-CN"/>
        </w:rPr>
        <w:t>A LS shall be sent to SA3 to ascertain if this issue will be discussed there.</w:t>
      </w:r>
    </w:p>
    <w:p>
      <w:pPr>
        <w:numPr>
          <w:ilvl w:val="0"/>
          <w:numId w:val="0"/>
        </w:numPr>
        <w:overflowPunct w:val="0"/>
        <w:autoSpaceDE w:val="0"/>
        <w:autoSpaceDN w:val="0"/>
        <w:adjustRightInd w:val="0"/>
        <w:spacing w:after="180"/>
        <w:textAlignment w:val="baseline"/>
        <w:rPr>
          <w:rFonts w:hint="eastAsia"/>
          <w:b/>
          <w:bCs/>
          <w:lang w:val="en-US" w:eastAsia="zh-CN"/>
        </w:rPr>
      </w:pPr>
      <w:r>
        <w:rPr>
          <w:rFonts w:hint="eastAsia"/>
          <w:b/>
          <w:bCs/>
          <w:lang w:val="en-US" w:eastAsia="zh-CN"/>
        </w:rPr>
        <w:t>Proposal 2:</w:t>
      </w:r>
      <w:r>
        <w:rPr>
          <w:rFonts w:hint="eastAsia"/>
          <w:b/>
          <w:bCs/>
          <w:lang w:val="en-US" w:eastAsia="zh-CN"/>
        </w:rPr>
        <w:tab/>
      </w:r>
      <w:r>
        <w:rPr>
          <w:rFonts w:hint="eastAsia"/>
          <w:b/>
          <w:bCs/>
          <w:lang w:val="en-US" w:eastAsia="zh-CN"/>
        </w:rPr>
        <w:t>The resource owner consent check mechanism is performed by the CCF.</w:t>
      </w:r>
    </w:p>
    <w:p>
      <w:pPr>
        <w:numPr>
          <w:ilvl w:val="0"/>
          <w:numId w:val="0"/>
        </w:numPr>
        <w:overflowPunct w:val="0"/>
        <w:autoSpaceDE w:val="0"/>
        <w:autoSpaceDN w:val="0"/>
        <w:adjustRightInd w:val="0"/>
        <w:spacing w:after="180"/>
        <w:textAlignment w:val="baseline"/>
        <w:rPr>
          <w:rFonts w:hint="default"/>
          <w:b/>
          <w:bCs/>
          <w:lang w:val="en-US" w:eastAsia="zh-CN"/>
        </w:rPr>
      </w:pPr>
      <w:r>
        <w:rPr>
          <w:rFonts w:hint="eastAsia"/>
          <w:b/>
          <w:bCs/>
          <w:lang w:val="en-US" w:eastAsia="zh-CN"/>
        </w:rPr>
        <w:t>Proposal 3: Candidate types of API invokers allowed to access other UE</w:t>
      </w:r>
      <w:r>
        <w:rPr>
          <w:rFonts w:hint="default"/>
          <w:b/>
          <w:bCs/>
          <w:lang w:val="en-US" w:eastAsia="zh-CN"/>
        </w:rPr>
        <w:t>’</w:t>
      </w:r>
      <w:r>
        <w:rPr>
          <w:rFonts w:hint="eastAsia"/>
          <w:b/>
          <w:bCs/>
          <w:lang w:val="en-US" w:eastAsia="zh-CN"/>
        </w:rPr>
        <w:t>s resources:</w:t>
      </w:r>
    </w:p>
    <w:p>
      <w:pPr>
        <w:numPr>
          <w:ilvl w:val="0"/>
          <w:numId w:val="4"/>
        </w:numPr>
        <w:overflowPunct w:val="0"/>
        <w:autoSpaceDE w:val="0"/>
        <w:autoSpaceDN w:val="0"/>
        <w:adjustRightInd w:val="0"/>
        <w:spacing w:after="180"/>
        <w:ind w:left="420" w:leftChars="0" w:hanging="420" w:firstLineChars="0"/>
        <w:textAlignment w:val="baseline"/>
        <w:rPr>
          <w:rFonts w:hint="eastAsia"/>
          <w:b/>
          <w:bCs/>
          <w:lang w:val="en-US" w:eastAsia="zh-CN"/>
        </w:rPr>
      </w:pPr>
      <w:r>
        <w:rPr>
          <w:rFonts w:hint="eastAsia"/>
          <w:b/>
          <w:bCs/>
          <w:lang w:val="en-US" w:eastAsia="zh-CN"/>
        </w:rPr>
        <w:t>Option 1: API invokers that have already been authenticated by CCF.</w:t>
      </w:r>
    </w:p>
    <w:p>
      <w:pPr>
        <w:numPr>
          <w:ilvl w:val="0"/>
          <w:numId w:val="4"/>
        </w:numPr>
        <w:overflowPunct w:val="0"/>
        <w:autoSpaceDE w:val="0"/>
        <w:autoSpaceDN w:val="0"/>
        <w:adjustRightInd w:val="0"/>
        <w:spacing w:after="180"/>
        <w:ind w:left="420" w:leftChars="0" w:hanging="420" w:firstLineChars="0"/>
        <w:textAlignment w:val="baseline"/>
        <w:rPr>
          <w:rFonts w:hint="eastAsia"/>
          <w:b/>
          <w:bCs/>
          <w:lang w:val="en-US" w:eastAsia="zh-CN"/>
        </w:rPr>
      </w:pPr>
      <w:r>
        <w:rPr>
          <w:rFonts w:hint="eastAsia"/>
          <w:b/>
          <w:bCs/>
          <w:lang w:val="en-US" w:eastAsia="zh-CN"/>
        </w:rPr>
        <w:t>Option 2: API invokers that have already joined in the same application service as the requested resource owner.</w:t>
      </w:r>
    </w:p>
    <w:p>
      <w:pPr>
        <w:numPr>
          <w:ilvl w:val="0"/>
          <w:numId w:val="4"/>
        </w:numPr>
        <w:overflowPunct w:val="0"/>
        <w:autoSpaceDE w:val="0"/>
        <w:autoSpaceDN w:val="0"/>
        <w:adjustRightInd w:val="0"/>
        <w:spacing w:after="180"/>
        <w:ind w:left="420" w:leftChars="0" w:hanging="420" w:firstLineChars="0"/>
        <w:textAlignment w:val="baseline"/>
        <w:rPr>
          <w:rFonts w:hint="eastAsia"/>
          <w:b/>
          <w:bCs/>
          <w:lang w:val="en-US" w:eastAsia="zh-CN"/>
        </w:rPr>
      </w:pPr>
      <w:r>
        <w:rPr>
          <w:rFonts w:hint="eastAsia"/>
          <w:b/>
          <w:bCs/>
          <w:lang w:val="en-US" w:eastAsia="zh-CN"/>
        </w:rPr>
        <w:t>Option 3: It is up to the implementation of CCF.</w:t>
      </w:r>
    </w:p>
    <w:p>
      <w:pPr>
        <w:rPr>
          <w:rFonts w:hint="default"/>
          <w:lang w:val="en-US" w:eastAsia="zh-CN"/>
        </w:rPr>
      </w:pPr>
    </w:p>
    <w:p>
      <w:pPr>
        <w:rPr>
          <w:rFonts w:hint="default"/>
          <w:lang w:val="en-US" w:eastAsia="zh-CN"/>
        </w:rPr>
      </w:pPr>
    </w:p>
    <w:p>
      <w:pPr>
        <w:numPr>
          <w:ilvl w:val="0"/>
          <w:numId w:val="0"/>
        </w:numPr>
        <w:overflowPunct w:val="0"/>
        <w:autoSpaceDE w:val="0"/>
        <w:autoSpaceDN w:val="0"/>
        <w:adjustRightInd w:val="0"/>
        <w:spacing w:after="180"/>
        <w:textAlignment w:val="baseline"/>
        <w:rPr>
          <w:rFonts w:hint="default"/>
          <w:lang w:val="en-US" w:eastAsia="zh-CN"/>
        </w:rPr>
      </w:pPr>
    </w:p>
    <w:p>
      <w:pPr>
        <w:numPr>
          <w:ilvl w:val="0"/>
          <w:numId w:val="0"/>
        </w:numPr>
        <w:overflowPunct w:val="0"/>
        <w:autoSpaceDE w:val="0"/>
        <w:autoSpaceDN w:val="0"/>
        <w:adjustRightInd w:val="0"/>
        <w:spacing w:after="180"/>
        <w:textAlignment w:val="baseline"/>
        <w:rPr>
          <w:rFonts w:hint="default"/>
          <w:lang w:val="en-US" w:eastAsia="zh-CN"/>
        </w:rPr>
      </w:pPr>
    </w:p>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8A8297"/>
    <w:multiLevelType w:val="multilevel"/>
    <w:tmpl w:val="968A8297"/>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B7D7764D"/>
    <w:multiLevelType w:val="singleLevel"/>
    <w:tmpl w:val="B7D7764D"/>
    <w:lvl w:ilvl="0" w:tentative="0">
      <w:start w:val="1"/>
      <w:numFmt w:val="bullet"/>
      <w:lvlText w:val="­"/>
      <w:lvlJc w:val="left"/>
      <w:pPr>
        <w:ind w:left="420" w:leftChars="0" w:hanging="420" w:firstLineChars="0"/>
      </w:pPr>
      <w:rPr>
        <w:rFonts w:hint="default" w:ascii="宋体" w:hAnsi="宋体" w:eastAsia="宋体" w:cs="宋体"/>
      </w:rPr>
    </w:lvl>
  </w:abstractNum>
  <w:abstractNum w:abstractNumId="2">
    <w:nsid w:val="BC0AF169"/>
    <w:multiLevelType w:val="singleLevel"/>
    <w:tmpl w:val="BC0AF169"/>
    <w:lvl w:ilvl="0" w:tentative="0">
      <w:start w:val="1"/>
      <w:numFmt w:val="bullet"/>
      <w:lvlText w:val="­"/>
      <w:lvlJc w:val="left"/>
      <w:pPr>
        <w:ind w:left="420" w:leftChars="0" w:hanging="420" w:firstLineChars="0"/>
      </w:pPr>
      <w:rPr>
        <w:rFonts w:hint="default" w:ascii="宋体" w:hAnsi="宋体" w:eastAsia="宋体" w:cs="宋体"/>
      </w:rPr>
    </w:lvl>
  </w:abstractNum>
  <w:abstractNum w:abstractNumId="3">
    <w:nsid w:val="170F7E63"/>
    <w:multiLevelType w:val="singleLevel"/>
    <w:tmpl w:val="170F7E63"/>
    <w:lvl w:ilvl="0" w:tentative="0">
      <w:start w:val="1"/>
      <w:numFmt w:val="decimal"/>
      <w:suff w:val="space"/>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CBF"/>
    <w:rsid w:val="000040D1"/>
    <w:rsid w:val="00012CAF"/>
    <w:rsid w:val="00016B19"/>
    <w:rsid w:val="000178B9"/>
    <w:rsid w:val="0002503B"/>
    <w:rsid w:val="00026C30"/>
    <w:rsid w:val="00027666"/>
    <w:rsid w:val="00032FC1"/>
    <w:rsid w:val="00033242"/>
    <w:rsid w:val="00044844"/>
    <w:rsid w:val="0004597E"/>
    <w:rsid w:val="00046AEF"/>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7B86"/>
    <w:rsid w:val="000A585C"/>
    <w:rsid w:val="000A65BE"/>
    <w:rsid w:val="000B1A72"/>
    <w:rsid w:val="000B1F26"/>
    <w:rsid w:val="000B52F5"/>
    <w:rsid w:val="000B5AFD"/>
    <w:rsid w:val="000C014F"/>
    <w:rsid w:val="000C4E37"/>
    <w:rsid w:val="000C5044"/>
    <w:rsid w:val="000D01B2"/>
    <w:rsid w:val="000D2DDD"/>
    <w:rsid w:val="000D382E"/>
    <w:rsid w:val="000D60A4"/>
    <w:rsid w:val="000D71CB"/>
    <w:rsid w:val="000D79FE"/>
    <w:rsid w:val="000E0A05"/>
    <w:rsid w:val="000E260D"/>
    <w:rsid w:val="000E3DE0"/>
    <w:rsid w:val="000E65F3"/>
    <w:rsid w:val="000F1C90"/>
    <w:rsid w:val="000F296C"/>
    <w:rsid w:val="000F5B38"/>
    <w:rsid w:val="0010172A"/>
    <w:rsid w:val="00104151"/>
    <w:rsid w:val="00105F7F"/>
    <w:rsid w:val="00112487"/>
    <w:rsid w:val="001124BF"/>
    <w:rsid w:val="00112547"/>
    <w:rsid w:val="00112828"/>
    <w:rsid w:val="001166E5"/>
    <w:rsid w:val="00116B42"/>
    <w:rsid w:val="00125869"/>
    <w:rsid w:val="00136428"/>
    <w:rsid w:val="00142FCD"/>
    <w:rsid w:val="001478A7"/>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4C66"/>
    <w:rsid w:val="001953D1"/>
    <w:rsid w:val="001A5EEE"/>
    <w:rsid w:val="001B0982"/>
    <w:rsid w:val="001B1660"/>
    <w:rsid w:val="001B461C"/>
    <w:rsid w:val="001C04FF"/>
    <w:rsid w:val="001C39BB"/>
    <w:rsid w:val="001C6726"/>
    <w:rsid w:val="001D1688"/>
    <w:rsid w:val="001D51FF"/>
    <w:rsid w:val="001D634E"/>
    <w:rsid w:val="001D6833"/>
    <w:rsid w:val="001F3226"/>
    <w:rsid w:val="001F665F"/>
    <w:rsid w:val="001F7F37"/>
    <w:rsid w:val="00207B2A"/>
    <w:rsid w:val="00211D42"/>
    <w:rsid w:val="00211F5D"/>
    <w:rsid w:val="00216010"/>
    <w:rsid w:val="00216B73"/>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6FD4"/>
    <w:rsid w:val="00267172"/>
    <w:rsid w:val="00273232"/>
    <w:rsid w:val="00273D56"/>
    <w:rsid w:val="00284B29"/>
    <w:rsid w:val="00287239"/>
    <w:rsid w:val="002878F2"/>
    <w:rsid w:val="002910C0"/>
    <w:rsid w:val="0029781B"/>
    <w:rsid w:val="002A6978"/>
    <w:rsid w:val="002A6A22"/>
    <w:rsid w:val="002A6C36"/>
    <w:rsid w:val="002B30DC"/>
    <w:rsid w:val="002B3C0B"/>
    <w:rsid w:val="002B66B5"/>
    <w:rsid w:val="002C3678"/>
    <w:rsid w:val="002D1DE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629B2"/>
    <w:rsid w:val="003705CD"/>
    <w:rsid w:val="003812EE"/>
    <w:rsid w:val="003854B9"/>
    <w:rsid w:val="00385CAA"/>
    <w:rsid w:val="00386194"/>
    <w:rsid w:val="00386962"/>
    <w:rsid w:val="00386AFC"/>
    <w:rsid w:val="00387C21"/>
    <w:rsid w:val="003948C7"/>
    <w:rsid w:val="00395AE1"/>
    <w:rsid w:val="0039683F"/>
    <w:rsid w:val="003A3CE6"/>
    <w:rsid w:val="003A6BE6"/>
    <w:rsid w:val="003B236F"/>
    <w:rsid w:val="003B609D"/>
    <w:rsid w:val="003B612F"/>
    <w:rsid w:val="003C14C7"/>
    <w:rsid w:val="003C7410"/>
    <w:rsid w:val="003D1837"/>
    <w:rsid w:val="003D3A1A"/>
    <w:rsid w:val="003D73FB"/>
    <w:rsid w:val="003D7981"/>
    <w:rsid w:val="003E090C"/>
    <w:rsid w:val="003E468C"/>
    <w:rsid w:val="003F1BFE"/>
    <w:rsid w:val="003F66EB"/>
    <w:rsid w:val="004133D4"/>
    <w:rsid w:val="004172A3"/>
    <w:rsid w:val="0041754D"/>
    <w:rsid w:val="00417A12"/>
    <w:rsid w:val="00423170"/>
    <w:rsid w:val="004331B3"/>
    <w:rsid w:val="00433754"/>
    <w:rsid w:val="00434A3B"/>
    <w:rsid w:val="00434D9A"/>
    <w:rsid w:val="0044190E"/>
    <w:rsid w:val="00444068"/>
    <w:rsid w:val="004532B3"/>
    <w:rsid w:val="0045332A"/>
    <w:rsid w:val="004563B3"/>
    <w:rsid w:val="004617B2"/>
    <w:rsid w:val="00470A49"/>
    <w:rsid w:val="00483CE8"/>
    <w:rsid w:val="00484287"/>
    <w:rsid w:val="00484761"/>
    <w:rsid w:val="00485B26"/>
    <w:rsid w:val="00490210"/>
    <w:rsid w:val="004908D7"/>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D7B0B"/>
    <w:rsid w:val="004E3252"/>
    <w:rsid w:val="004E327A"/>
    <w:rsid w:val="004E6016"/>
    <w:rsid w:val="004F3556"/>
    <w:rsid w:val="004F52BB"/>
    <w:rsid w:val="0052645D"/>
    <w:rsid w:val="00530E7F"/>
    <w:rsid w:val="00532001"/>
    <w:rsid w:val="00535526"/>
    <w:rsid w:val="00541787"/>
    <w:rsid w:val="00541925"/>
    <w:rsid w:val="00547A52"/>
    <w:rsid w:val="00551668"/>
    <w:rsid w:val="00553BBE"/>
    <w:rsid w:val="00556BEB"/>
    <w:rsid w:val="00565089"/>
    <w:rsid w:val="005651D4"/>
    <w:rsid w:val="005677FF"/>
    <w:rsid w:val="00570264"/>
    <w:rsid w:val="00580A53"/>
    <w:rsid w:val="005837A4"/>
    <w:rsid w:val="00584AE9"/>
    <w:rsid w:val="00586911"/>
    <w:rsid w:val="0059005C"/>
    <w:rsid w:val="00590656"/>
    <w:rsid w:val="005910C8"/>
    <w:rsid w:val="00596140"/>
    <w:rsid w:val="00596817"/>
    <w:rsid w:val="00597E77"/>
    <w:rsid w:val="005A2B0A"/>
    <w:rsid w:val="005A2D78"/>
    <w:rsid w:val="005A4248"/>
    <w:rsid w:val="005B3F0D"/>
    <w:rsid w:val="005B5400"/>
    <w:rsid w:val="005B57CA"/>
    <w:rsid w:val="005C1703"/>
    <w:rsid w:val="005C2065"/>
    <w:rsid w:val="005C763F"/>
    <w:rsid w:val="005D04DD"/>
    <w:rsid w:val="005D48DD"/>
    <w:rsid w:val="005D5E5A"/>
    <w:rsid w:val="005E0894"/>
    <w:rsid w:val="005E2110"/>
    <w:rsid w:val="005E3A56"/>
    <w:rsid w:val="005E6E51"/>
    <w:rsid w:val="005F29C0"/>
    <w:rsid w:val="006037BE"/>
    <w:rsid w:val="006044E7"/>
    <w:rsid w:val="00606A0F"/>
    <w:rsid w:val="00614AD9"/>
    <w:rsid w:val="00615E56"/>
    <w:rsid w:val="00617E63"/>
    <w:rsid w:val="0062116D"/>
    <w:rsid w:val="00623FBE"/>
    <w:rsid w:val="0062719B"/>
    <w:rsid w:val="00632611"/>
    <w:rsid w:val="0063435E"/>
    <w:rsid w:val="00653D48"/>
    <w:rsid w:val="00657D82"/>
    <w:rsid w:val="00661E6E"/>
    <w:rsid w:val="00662BA3"/>
    <w:rsid w:val="006650BB"/>
    <w:rsid w:val="00666C7E"/>
    <w:rsid w:val="00670860"/>
    <w:rsid w:val="0067656C"/>
    <w:rsid w:val="00683133"/>
    <w:rsid w:val="006874AA"/>
    <w:rsid w:val="0069054E"/>
    <w:rsid w:val="00690D88"/>
    <w:rsid w:val="00693902"/>
    <w:rsid w:val="00696034"/>
    <w:rsid w:val="00697729"/>
    <w:rsid w:val="006A11BF"/>
    <w:rsid w:val="006A18FE"/>
    <w:rsid w:val="006A3DAB"/>
    <w:rsid w:val="006A6D8C"/>
    <w:rsid w:val="006B1984"/>
    <w:rsid w:val="006B1C4F"/>
    <w:rsid w:val="006B4188"/>
    <w:rsid w:val="006B5859"/>
    <w:rsid w:val="006C06D1"/>
    <w:rsid w:val="006C2AE3"/>
    <w:rsid w:val="006C42DE"/>
    <w:rsid w:val="006C481F"/>
    <w:rsid w:val="006C63D1"/>
    <w:rsid w:val="006D254F"/>
    <w:rsid w:val="006D397C"/>
    <w:rsid w:val="006D7E7C"/>
    <w:rsid w:val="006E6D89"/>
    <w:rsid w:val="006E7896"/>
    <w:rsid w:val="006E7C40"/>
    <w:rsid w:val="006F1148"/>
    <w:rsid w:val="006F431F"/>
    <w:rsid w:val="00702408"/>
    <w:rsid w:val="007024F8"/>
    <w:rsid w:val="007039E6"/>
    <w:rsid w:val="007163B4"/>
    <w:rsid w:val="00724FE9"/>
    <w:rsid w:val="00725913"/>
    <w:rsid w:val="0072646C"/>
    <w:rsid w:val="00726ECA"/>
    <w:rsid w:val="0072759E"/>
    <w:rsid w:val="00731BF1"/>
    <w:rsid w:val="00731C25"/>
    <w:rsid w:val="0073418D"/>
    <w:rsid w:val="00735364"/>
    <w:rsid w:val="00736D47"/>
    <w:rsid w:val="00737179"/>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91772"/>
    <w:rsid w:val="0079213C"/>
    <w:rsid w:val="007961BA"/>
    <w:rsid w:val="007A440E"/>
    <w:rsid w:val="007B1635"/>
    <w:rsid w:val="007B56A9"/>
    <w:rsid w:val="007C76E6"/>
    <w:rsid w:val="007D298D"/>
    <w:rsid w:val="007E5F35"/>
    <w:rsid w:val="007E6841"/>
    <w:rsid w:val="007F2534"/>
    <w:rsid w:val="007F67BD"/>
    <w:rsid w:val="007F7861"/>
    <w:rsid w:val="008009D4"/>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2F6B"/>
    <w:rsid w:val="008D37FF"/>
    <w:rsid w:val="008D65DA"/>
    <w:rsid w:val="008D6C64"/>
    <w:rsid w:val="008D701F"/>
    <w:rsid w:val="008E16EC"/>
    <w:rsid w:val="008E19AC"/>
    <w:rsid w:val="008E6E55"/>
    <w:rsid w:val="008F1E4D"/>
    <w:rsid w:val="008F457C"/>
    <w:rsid w:val="008F504A"/>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8623F"/>
    <w:rsid w:val="009910B4"/>
    <w:rsid w:val="009958A7"/>
    <w:rsid w:val="009A1645"/>
    <w:rsid w:val="009B33E1"/>
    <w:rsid w:val="009B376A"/>
    <w:rsid w:val="009B7E79"/>
    <w:rsid w:val="009C0776"/>
    <w:rsid w:val="009C1823"/>
    <w:rsid w:val="009C1E60"/>
    <w:rsid w:val="009C50C0"/>
    <w:rsid w:val="009C550B"/>
    <w:rsid w:val="009C60C3"/>
    <w:rsid w:val="009D1F41"/>
    <w:rsid w:val="009D1F94"/>
    <w:rsid w:val="009D2D82"/>
    <w:rsid w:val="009D585E"/>
    <w:rsid w:val="009E0784"/>
    <w:rsid w:val="009E274E"/>
    <w:rsid w:val="009E41D1"/>
    <w:rsid w:val="009E6D7B"/>
    <w:rsid w:val="009F7B78"/>
    <w:rsid w:val="00A11E8F"/>
    <w:rsid w:val="00A12566"/>
    <w:rsid w:val="00A12EAB"/>
    <w:rsid w:val="00A1658F"/>
    <w:rsid w:val="00A17457"/>
    <w:rsid w:val="00A25D9F"/>
    <w:rsid w:val="00A27EFC"/>
    <w:rsid w:val="00A36F97"/>
    <w:rsid w:val="00A41B55"/>
    <w:rsid w:val="00A45CBF"/>
    <w:rsid w:val="00A473BD"/>
    <w:rsid w:val="00A521F3"/>
    <w:rsid w:val="00A52F9E"/>
    <w:rsid w:val="00A6003E"/>
    <w:rsid w:val="00A65D23"/>
    <w:rsid w:val="00A65F1C"/>
    <w:rsid w:val="00A71F0F"/>
    <w:rsid w:val="00A757A4"/>
    <w:rsid w:val="00A801CC"/>
    <w:rsid w:val="00A82DDD"/>
    <w:rsid w:val="00A868BB"/>
    <w:rsid w:val="00A93A44"/>
    <w:rsid w:val="00A97773"/>
    <w:rsid w:val="00AA0C0A"/>
    <w:rsid w:val="00AA5529"/>
    <w:rsid w:val="00AA7011"/>
    <w:rsid w:val="00AA75BA"/>
    <w:rsid w:val="00AC0DF5"/>
    <w:rsid w:val="00AC415E"/>
    <w:rsid w:val="00AC4BDB"/>
    <w:rsid w:val="00AC6AC4"/>
    <w:rsid w:val="00AD0317"/>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8046D"/>
    <w:rsid w:val="00B85387"/>
    <w:rsid w:val="00B9451F"/>
    <w:rsid w:val="00BA1C79"/>
    <w:rsid w:val="00BA4154"/>
    <w:rsid w:val="00BB0020"/>
    <w:rsid w:val="00BB5E06"/>
    <w:rsid w:val="00BB7F21"/>
    <w:rsid w:val="00BC07E5"/>
    <w:rsid w:val="00BC2888"/>
    <w:rsid w:val="00BC2F27"/>
    <w:rsid w:val="00BC38BC"/>
    <w:rsid w:val="00BC4052"/>
    <w:rsid w:val="00BC4BC8"/>
    <w:rsid w:val="00BC5097"/>
    <w:rsid w:val="00BD2818"/>
    <w:rsid w:val="00BD703E"/>
    <w:rsid w:val="00BE2493"/>
    <w:rsid w:val="00BE314A"/>
    <w:rsid w:val="00BF1AE9"/>
    <w:rsid w:val="00BF423D"/>
    <w:rsid w:val="00BF625B"/>
    <w:rsid w:val="00C03DF7"/>
    <w:rsid w:val="00C21E57"/>
    <w:rsid w:val="00C22622"/>
    <w:rsid w:val="00C2305B"/>
    <w:rsid w:val="00C30F9B"/>
    <w:rsid w:val="00C60866"/>
    <w:rsid w:val="00C62347"/>
    <w:rsid w:val="00C6699B"/>
    <w:rsid w:val="00C71989"/>
    <w:rsid w:val="00C75A90"/>
    <w:rsid w:val="00C75C8E"/>
    <w:rsid w:val="00C76D6B"/>
    <w:rsid w:val="00C770CB"/>
    <w:rsid w:val="00C772E0"/>
    <w:rsid w:val="00C80D20"/>
    <w:rsid w:val="00C82058"/>
    <w:rsid w:val="00C82B9E"/>
    <w:rsid w:val="00C82D19"/>
    <w:rsid w:val="00C84A3E"/>
    <w:rsid w:val="00C85F8E"/>
    <w:rsid w:val="00C90C99"/>
    <w:rsid w:val="00C90DC4"/>
    <w:rsid w:val="00C953CC"/>
    <w:rsid w:val="00CA1C7D"/>
    <w:rsid w:val="00CA58CA"/>
    <w:rsid w:val="00CB1AF9"/>
    <w:rsid w:val="00CB4F6E"/>
    <w:rsid w:val="00CB629B"/>
    <w:rsid w:val="00CC2721"/>
    <w:rsid w:val="00CD2C95"/>
    <w:rsid w:val="00CE0337"/>
    <w:rsid w:val="00CE1533"/>
    <w:rsid w:val="00CE1842"/>
    <w:rsid w:val="00CE25A6"/>
    <w:rsid w:val="00CE2CF6"/>
    <w:rsid w:val="00CE772F"/>
    <w:rsid w:val="00CE79F1"/>
    <w:rsid w:val="00CF0AAE"/>
    <w:rsid w:val="00CF669F"/>
    <w:rsid w:val="00D00DC7"/>
    <w:rsid w:val="00D02624"/>
    <w:rsid w:val="00D038CC"/>
    <w:rsid w:val="00D11EE6"/>
    <w:rsid w:val="00D13400"/>
    <w:rsid w:val="00D1484A"/>
    <w:rsid w:val="00D15099"/>
    <w:rsid w:val="00D1520B"/>
    <w:rsid w:val="00D216A2"/>
    <w:rsid w:val="00D33B64"/>
    <w:rsid w:val="00D42185"/>
    <w:rsid w:val="00D454D1"/>
    <w:rsid w:val="00D50796"/>
    <w:rsid w:val="00D508A3"/>
    <w:rsid w:val="00D52845"/>
    <w:rsid w:val="00D62CEF"/>
    <w:rsid w:val="00D652AB"/>
    <w:rsid w:val="00D65822"/>
    <w:rsid w:val="00D70393"/>
    <w:rsid w:val="00D76052"/>
    <w:rsid w:val="00D81C38"/>
    <w:rsid w:val="00D838C4"/>
    <w:rsid w:val="00D84DF5"/>
    <w:rsid w:val="00D853E5"/>
    <w:rsid w:val="00D8736A"/>
    <w:rsid w:val="00D90711"/>
    <w:rsid w:val="00D95A27"/>
    <w:rsid w:val="00D96631"/>
    <w:rsid w:val="00DA079A"/>
    <w:rsid w:val="00DA2D12"/>
    <w:rsid w:val="00DA3E13"/>
    <w:rsid w:val="00DA6EE6"/>
    <w:rsid w:val="00DB4029"/>
    <w:rsid w:val="00DC0FDF"/>
    <w:rsid w:val="00DC1D13"/>
    <w:rsid w:val="00DC3BF8"/>
    <w:rsid w:val="00DC7083"/>
    <w:rsid w:val="00DD0E74"/>
    <w:rsid w:val="00DD2171"/>
    <w:rsid w:val="00DD7392"/>
    <w:rsid w:val="00DE63F5"/>
    <w:rsid w:val="00DF1E25"/>
    <w:rsid w:val="00DF239C"/>
    <w:rsid w:val="00DF26F8"/>
    <w:rsid w:val="00DF3CC0"/>
    <w:rsid w:val="00DF5361"/>
    <w:rsid w:val="00DF652C"/>
    <w:rsid w:val="00E04DFC"/>
    <w:rsid w:val="00E055CD"/>
    <w:rsid w:val="00E13F6A"/>
    <w:rsid w:val="00E165D9"/>
    <w:rsid w:val="00E17295"/>
    <w:rsid w:val="00E2078D"/>
    <w:rsid w:val="00E2311B"/>
    <w:rsid w:val="00E3014F"/>
    <w:rsid w:val="00E3765C"/>
    <w:rsid w:val="00E40B50"/>
    <w:rsid w:val="00E50082"/>
    <w:rsid w:val="00E8003C"/>
    <w:rsid w:val="00E81637"/>
    <w:rsid w:val="00E825FC"/>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2F15"/>
    <w:rsid w:val="00EF50BD"/>
    <w:rsid w:val="00F00A09"/>
    <w:rsid w:val="00F01742"/>
    <w:rsid w:val="00F03A62"/>
    <w:rsid w:val="00F06C88"/>
    <w:rsid w:val="00F07C39"/>
    <w:rsid w:val="00F10525"/>
    <w:rsid w:val="00F109E9"/>
    <w:rsid w:val="00F11E1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77AE6"/>
    <w:rsid w:val="00F801A7"/>
    <w:rsid w:val="00F80B6C"/>
    <w:rsid w:val="00F86F62"/>
    <w:rsid w:val="00F90BA4"/>
    <w:rsid w:val="00FA5284"/>
    <w:rsid w:val="00FB4B22"/>
    <w:rsid w:val="00FB4F1F"/>
    <w:rsid w:val="00FC120C"/>
    <w:rsid w:val="00FC205B"/>
    <w:rsid w:val="00FC2825"/>
    <w:rsid w:val="00FC451B"/>
    <w:rsid w:val="00FC4E5F"/>
    <w:rsid w:val="00FD04E8"/>
    <w:rsid w:val="00FD0686"/>
    <w:rsid w:val="00FD1786"/>
    <w:rsid w:val="00FD18E3"/>
    <w:rsid w:val="00FD20D2"/>
    <w:rsid w:val="00FD40CB"/>
    <w:rsid w:val="00FD5D3A"/>
    <w:rsid w:val="00FE0852"/>
    <w:rsid w:val="00FE2D67"/>
    <w:rsid w:val="00FE3AF1"/>
    <w:rsid w:val="00FE68DA"/>
    <w:rsid w:val="00FF51FF"/>
    <w:rsid w:val="00FF56D2"/>
    <w:rsid w:val="00FF757B"/>
    <w:rsid w:val="02B23DA6"/>
    <w:rsid w:val="035A175B"/>
    <w:rsid w:val="03953532"/>
    <w:rsid w:val="05E6462D"/>
    <w:rsid w:val="06304C93"/>
    <w:rsid w:val="0D3C321E"/>
    <w:rsid w:val="0D8555D8"/>
    <w:rsid w:val="0F6539DE"/>
    <w:rsid w:val="0FBB7601"/>
    <w:rsid w:val="116C6192"/>
    <w:rsid w:val="172F1303"/>
    <w:rsid w:val="18974964"/>
    <w:rsid w:val="18EA3228"/>
    <w:rsid w:val="20E81EFC"/>
    <w:rsid w:val="21272C5A"/>
    <w:rsid w:val="25115838"/>
    <w:rsid w:val="28DF4D38"/>
    <w:rsid w:val="29BD1EFE"/>
    <w:rsid w:val="2EE03E0D"/>
    <w:rsid w:val="30F133AD"/>
    <w:rsid w:val="329830F5"/>
    <w:rsid w:val="398937B2"/>
    <w:rsid w:val="3E5666FD"/>
    <w:rsid w:val="3F657D50"/>
    <w:rsid w:val="3FB73DDC"/>
    <w:rsid w:val="417340EF"/>
    <w:rsid w:val="42AF4693"/>
    <w:rsid w:val="45F061F0"/>
    <w:rsid w:val="49994A75"/>
    <w:rsid w:val="4AA71688"/>
    <w:rsid w:val="4AF45555"/>
    <w:rsid w:val="4AFE540C"/>
    <w:rsid w:val="4BB45865"/>
    <w:rsid w:val="4F1B74C9"/>
    <w:rsid w:val="50CE0174"/>
    <w:rsid w:val="5C4821F4"/>
    <w:rsid w:val="5EDC24CB"/>
    <w:rsid w:val="5F490632"/>
    <w:rsid w:val="62472E4C"/>
    <w:rsid w:val="63026180"/>
    <w:rsid w:val="65251988"/>
    <w:rsid w:val="680627DB"/>
    <w:rsid w:val="6CE45189"/>
    <w:rsid w:val="6F2B4983"/>
    <w:rsid w:val="705C2C96"/>
    <w:rsid w:val="710910B8"/>
    <w:rsid w:val="783F7333"/>
    <w:rsid w:val="79737217"/>
    <w:rsid w:val="7CD75644"/>
    <w:rsid w:val="7D9103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4"/>
    <w:qFormat/>
    <w:uiPriority w:val="0"/>
    <w:pPr>
      <w:pBdr>
        <w:top w:val="none" w:color="auto" w:sz="0" w:space="0"/>
      </w:pBdr>
      <w:spacing w:before="180"/>
      <w:outlineLvl w:val="1"/>
    </w:pPr>
    <w:rPr>
      <w:sz w:val="32"/>
    </w:rPr>
  </w:style>
  <w:style w:type="paragraph" w:styleId="4">
    <w:name w:val="heading 3"/>
    <w:basedOn w:val="3"/>
    <w:next w:val="1"/>
    <w:link w:val="45"/>
    <w:qFormat/>
    <w:uiPriority w:val="0"/>
    <w:pPr>
      <w:spacing w:before="120"/>
      <w:outlineLvl w:val="2"/>
    </w:pPr>
    <w:rPr>
      <w:sz w:val="28"/>
    </w:rPr>
  </w:style>
  <w:style w:type="paragraph" w:styleId="5">
    <w:name w:val="heading 4"/>
    <w:basedOn w:val="4"/>
    <w:next w:val="1"/>
    <w:link w:val="46"/>
    <w:qFormat/>
    <w:uiPriority w:val="0"/>
    <w:pPr>
      <w:ind w:left="1418" w:hanging="1418"/>
      <w:outlineLvl w:val="3"/>
    </w:pPr>
    <w:rPr>
      <w:sz w:val="24"/>
    </w:rPr>
  </w:style>
  <w:style w:type="paragraph" w:styleId="6">
    <w:name w:val="heading 5"/>
    <w:basedOn w:val="5"/>
    <w:next w:val="1"/>
    <w:link w:val="47"/>
    <w:qFormat/>
    <w:uiPriority w:val="0"/>
    <w:pPr>
      <w:ind w:left="1701" w:hanging="1701"/>
      <w:outlineLvl w:val="4"/>
    </w:pPr>
    <w:rPr>
      <w:sz w:val="22"/>
    </w:rPr>
  </w:style>
  <w:style w:type="paragraph" w:styleId="7">
    <w:name w:val="heading 6"/>
    <w:basedOn w:val="8"/>
    <w:next w:val="1"/>
    <w:link w:val="48"/>
    <w:qFormat/>
    <w:uiPriority w:val="0"/>
    <w:pPr>
      <w:outlineLvl w:val="5"/>
    </w:pPr>
  </w:style>
  <w:style w:type="paragraph" w:styleId="9">
    <w:name w:val="heading 7"/>
    <w:basedOn w:val="8"/>
    <w:next w:val="1"/>
    <w:link w:val="49"/>
    <w:qFormat/>
    <w:uiPriority w:val="0"/>
    <w:pPr>
      <w:outlineLvl w:val="6"/>
    </w:pPr>
  </w:style>
  <w:style w:type="paragraph" w:styleId="10">
    <w:name w:val="heading 8"/>
    <w:basedOn w:val="2"/>
    <w:next w:val="1"/>
    <w:link w:val="50"/>
    <w:qFormat/>
    <w:uiPriority w:val="0"/>
    <w:pPr>
      <w:ind w:left="0" w:firstLine="0"/>
      <w:outlineLvl w:val="7"/>
    </w:pPr>
  </w:style>
  <w:style w:type="paragraph" w:styleId="11">
    <w:name w:val="heading 9"/>
    <w:basedOn w:val="10"/>
    <w:next w:val="1"/>
    <w:link w:val="51"/>
    <w:qFormat/>
    <w:uiPriority w:val="0"/>
    <w:pPr>
      <w:outlineLvl w:val="8"/>
    </w:pPr>
  </w:style>
  <w:style w:type="character" w:default="1" w:styleId="40">
    <w:name w:val="Default Paragraph Font"/>
    <w:semiHidden/>
    <w:qFormat/>
    <w:uiPriority w:val="0"/>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List Bullet 5"/>
    <w:basedOn w:val="24"/>
    <w:qFormat/>
    <w:uiPriority w:val="0"/>
    <w:pPr>
      <w:ind w:left="1702"/>
    </w:pPr>
  </w:style>
  <w:style w:type="paragraph" w:styleId="29">
    <w:name w:val="toc 8"/>
    <w:basedOn w:val="21"/>
    <w:qFormat/>
    <w:uiPriority w:val="0"/>
    <w:pPr>
      <w:spacing w:before="180"/>
      <w:ind w:left="2693" w:hanging="2693"/>
    </w:pPr>
    <w:rPr>
      <w:b/>
    </w:rPr>
  </w:style>
  <w:style w:type="paragraph" w:styleId="30">
    <w:name w:val="footer"/>
    <w:basedOn w:val="31"/>
    <w:link w:val="86"/>
    <w:qFormat/>
    <w:uiPriority w:val="0"/>
    <w:pPr>
      <w:jc w:val="center"/>
    </w:pPr>
    <w:rPr>
      <w:i/>
    </w:rPr>
  </w:style>
  <w:style w:type="paragraph" w:styleId="31">
    <w:name w:val="header"/>
    <w:link w:val="5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2">
    <w:name w:val="footnote text"/>
    <w:basedOn w:val="1"/>
    <w:link w:val="56"/>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2"/>
    <w:qFormat/>
    <w:uiPriority w:val="0"/>
    <w:pPr>
      <w:ind w:left="1418"/>
    </w:pPr>
  </w:style>
  <w:style w:type="paragraph" w:styleId="35">
    <w:name w:val="toc 9"/>
    <w:basedOn w:val="29"/>
    <w:qFormat/>
    <w:uiPriority w:val="0"/>
    <w:pPr>
      <w:ind w:left="1418" w:hanging="1418"/>
    </w:pPr>
  </w:style>
  <w:style w:type="paragraph" w:styleId="36">
    <w:name w:val="index 1"/>
    <w:basedOn w:val="1"/>
    <w:qFormat/>
    <w:uiPriority w:val="0"/>
    <w:pPr>
      <w:keepLines/>
      <w:spacing w:after="0"/>
    </w:pPr>
  </w:style>
  <w:style w:type="paragraph" w:styleId="37">
    <w:name w:val="index 2"/>
    <w:basedOn w:val="36"/>
    <w:qFormat/>
    <w:uiPriority w:val="0"/>
    <w:pPr>
      <w:ind w:left="284"/>
    </w:pPr>
  </w:style>
  <w:style w:type="table" w:styleId="39">
    <w:name w:val="Table Grid"/>
    <w:basedOn w:val="3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footnote reference"/>
    <w:qFormat/>
    <w:uiPriority w:val="0"/>
    <w:rPr>
      <w:b/>
      <w:position w:val="6"/>
      <w:sz w:val="16"/>
    </w:rPr>
  </w:style>
  <w:style w:type="paragraph" w:customStyle="1" w:styleId="42">
    <w:name w:val="_Style 12"/>
    <w:basedOn w:val="1"/>
    <w:semiHidden/>
    <w:qFormat/>
    <w:uiPriority w:val="0"/>
    <w:pPr>
      <w:spacing w:after="160" w:line="240" w:lineRule="exact"/>
    </w:pPr>
    <w:rPr>
      <w:rFonts w:ascii="Arial" w:hAnsi="Arial" w:eastAsia="宋体"/>
      <w:szCs w:val="22"/>
      <w:lang w:val="en-US" w:eastAsia="en-US"/>
    </w:rPr>
  </w:style>
  <w:style w:type="character" w:customStyle="1" w:styleId="43">
    <w:name w:val="Heading 1 Char"/>
    <w:link w:val="2"/>
    <w:qFormat/>
    <w:uiPriority w:val="0"/>
    <w:rPr>
      <w:rFonts w:ascii="Arial" w:hAnsi="Arial" w:eastAsia="Times New Roman"/>
      <w:sz w:val="36"/>
    </w:rPr>
  </w:style>
  <w:style w:type="character" w:customStyle="1" w:styleId="44">
    <w:name w:val="Heading 2 Char"/>
    <w:link w:val="3"/>
    <w:qFormat/>
    <w:uiPriority w:val="0"/>
    <w:rPr>
      <w:rFonts w:ascii="Arial" w:hAnsi="Arial" w:eastAsia="Times New Roman"/>
      <w:sz w:val="32"/>
    </w:rPr>
  </w:style>
  <w:style w:type="character" w:customStyle="1" w:styleId="45">
    <w:name w:val="Heading 3 Char"/>
    <w:link w:val="4"/>
    <w:qFormat/>
    <w:uiPriority w:val="0"/>
    <w:rPr>
      <w:rFonts w:ascii="Arial" w:hAnsi="Arial" w:eastAsia="Times New Roman"/>
      <w:sz w:val="28"/>
    </w:rPr>
  </w:style>
  <w:style w:type="character" w:customStyle="1" w:styleId="46">
    <w:name w:val="Heading 4 Char"/>
    <w:link w:val="5"/>
    <w:qFormat/>
    <w:uiPriority w:val="0"/>
    <w:rPr>
      <w:rFonts w:ascii="Arial" w:hAnsi="Arial" w:eastAsia="Times New Roman"/>
      <w:sz w:val="24"/>
    </w:rPr>
  </w:style>
  <w:style w:type="character" w:customStyle="1" w:styleId="47">
    <w:name w:val="Heading 5 Char"/>
    <w:link w:val="6"/>
    <w:qFormat/>
    <w:uiPriority w:val="0"/>
    <w:rPr>
      <w:rFonts w:ascii="Arial" w:hAnsi="Arial" w:eastAsia="Times New Roman"/>
      <w:sz w:val="22"/>
    </w:rPr>
  </w:style>
  <w:style w:type="character" w:customStyle="1" w:styleId="48">
    <w:name w:val="Heading 6 Char"/>
    <w:link w:val="7"/>
    <w:qFormat/>
    <w:uiPriority w:val="0"/>
    <w:rPr>
      <w:rFonts w:ascii="Arial" w:hAnsi="Arial" w:eastAsia="Times New Roman"/>
    </w:rPr>
  </w:style>
  <w:style w:type="character" w:customStyle="1" w:styleId="49">
    <w:name w:val="Heading 7 Char"/>
    <w:link w:val="9"/>
    <w:qFormat/>
    <w:uiPriority w:val="0"/>
    <w:rPr>
      <w:rFonts w:ascii="Arial" w:hAnsi="Arial" w:eastAsia="Times New Roman"/>
    </w:rPr>
  </w:style>
  <w:style w:type="character" w:customStyle="1" w:styleId="50">
    <w:name w:val="Heading 8 Char"/>
    <w:link w:val="10"/>
    <w:qFormat/>
    <w:uiPriority w:val="0"/>
    <w:rPr>
      <w:rFonts w:ascii="Arial" w:hAnsi="Arial" w:eastAsia="Times New Roman"/>
      <w:sz w:val="36"/>
    </w:rPr>
  </w:style>
  <w:style w:type="character" w:customStyle="1" w:styleId="51">
    <w:name w:val="Heading 9 Char"/>
    <w:link w:val="11"/>
    <w:qFormat/>
    <w:uiPriority w:val="0"/>
    <w:rPr>
      <w:rFonts w:ascii="Arial" w:hAnsi="Arial" w:eastAsia="Times New Roman"/>
      <w:sz w:val="36"/>
    </w:rPr>
  </w:style>
  <w:style w:type="paragraph" w:customStyle="1" w:styleId="5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4">
    <w:name w:val="TT"/>
    <w:basedOn w:val="2"/>
    <w:next w:val="1"/>
    <w:qFormat/>
    <w:uiPriority w:val="0"/>
    <w:pPr>
      <w:outlineLvl w:val="9"/>
    </w:pPr>
  </w:style>
  <w:style w:type="character" w:customStyle="1" w:styleId="55">
    <w:name w:val="Header Char"/>
    <w:link w:val="31"/>
    <w:qFormat/>
    <w:uiPriority w:val="0"/>
    <w:rPr>
      <w:rFonts w:ascii="Arial" w:hAnsi="Arial" w:eastAsia="Times New Roman"/>
      <w:b/>
      <w:sz w:val="18"/>
    </w:rPr>
  </w:style>
  <w:style w:type="character" w:customStyle="1" w:styleId="56">
    <w:name w:val="Footnote Text Char"/>
    <w:link w:val="32"/>
    <w:qFormat/>
    <w:uiPriority w:val="0"/>
    <w:rPr>
      <w:rFonts w:eastAsia="Times New Roman"/>
      <w:sz w:val="16"/>
    </w:rPr>
  </w:style>
  <w:style w:type="paragraph" w:customStyle="1" w:styleId="57">
    <w:name w:val="TAH"/>
    <w:basedOn w:val="58"/>
    <w:qFormat/>
    <w:uiPriority w:val="0"/>
    <w:rPr>
      <w:b/>
    </w:rPr>
  </w:style>
  <w:style w:type="paragraph" w:customStyle="1" w:styleId="58">
    <w:name w:val="TAC"/>
    <w:basedOn w:val="59"/>
    <w:qFormat/>
    <w:uiPriority w:val="0"/>
    <w:pPr>
      <w:jc w:val="center"/>
    </w:pPr>
  </w:style>
  <w:style w:type="paragraph" w:customStyle="1" w:styleId="59">
    <w:name w:val="TAL"/>
    <w:basedOn w:val="1"/>
    <w:qFormat/>
    <w:uiPriority w:val="0"/>
    <w:pPr>
      <w:keepNext/>
      <w:keepLines/>
      <w:spacing w:after="0"/>
    </w:pPr>
    <w:rPr>
      <w:rFonts w:ascii="Arial" w:hAnsi="Arial"/>
      <w:sz w:val="18"/>
    </w:rPr>
  </w:style>
  <w:style w:type="paragraph" w:customStyle="1" w:styleId="60">
    <w:name w:val="TF"/>
    <w:basedOn w:val="61"/>
    <w:qFormat/>
    <w:uiPriority w:val="0"/>
    <w:pPr>
      <w:keepNext w:val="0"/>
      <w:spacing w:before="0" w:after="240"/>
    </w:p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NO"/>
    <w:basedOn w:val="1"/>
    <w:qFormat/>
    <w:uiPriority w:val="0"/>
    <w:pPr>
      <w:keepLines/>
      <w:ind w:left="1135" w:hanging="851"/>
    </w:p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0">
    <w:name w:val="Editor's Note"/>
    <w:basedOn w:val="62"/>
    <w:qFormat/>
    <w:uiPriority w:val="0"/>
    <w:rPr>
      <w:color w:val="FF0000"/>
    </w:rPr>
  </w:style>
  <w:style w:type="paragraph" w:customStyle="1" w:styleId="81">
    <w:name w:val="B1"/>
    <w:basedOn w:val="14"/>
    <w:qFormat/>
    <w:uiPriority w:val="0"/>
  </w:style>
  <w:style w:type="paragraph" w:customStyle="1" w:styleId="82">
    <w:name w:val="B2"/>
    <w:basedOn w:val="13"/>
    <w:qFormat/>
    <w:uiPriority w:val="0"/>
  </w:style>
  <w:style w:type="paragraph" w:customStyle="1" w:styleId="83">
    <w:name w:val="B3"/>
    <w:basedOn w:val="12"/>
    <w:qFormat/>
    <w:uiPriority w:val="0"/>
  </w:style>
  <w:style w:type="paragraph" w:customStyle="1" w:styleId="84">
    <w:name w:val="B4"/>
    <w:basedOn w:val="34"/>
    <w:qFormat/>
    <w:uiPriority w:val="0"/>
  </w:style>
  <w:style w:type="paragraph" w:customStyle="1" w:styleId="85">
    <w:name w:val="B5"/>
    <w:basedOn w:val="33"/>
    <w:qFormat/>
    <w:uiPriority w:val="0"/>
  </w:style>
  <w:style w:type="character" w:customStyle="1" w:styleId="86">
    <w:name w:val="Footer Char"/>
    <w:link w:val="30"/>
    <w:qFormat/>
    <w:uiPriority w:val="0"/>
    <w:rPr>
      <w:rFonts w:ascii="Arial" w:hAnsi="Arial" w:eastAsia="Times New Roman"/>
      <w:b/>
      <w:i/>
      <w:sz w:val="18"/>
    </w:rPr>
  </w:style>
  <w:style w:type="paragraph" w:customStyle="1" w:styleId="87">
    <w:name w:val="ZTD"/>
    <w:basedOn w:val="74"/>
    <w:qFormat/>
    <w:uiPriority w:val="0"/>
    <w:pPr>
      <w:framePr w:hRule="auto" w:y="852"/>
    </w:pPr>
    <w:rPr>
      <w:i w:val="0"/>
      <w:sz w:val="40"/>
    </w:rPr>
  </w:style>
  <w:style w:type="paragraph" w:customStyle="1" w:styleId="88">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Secretariat</Company>
  <Pages>4</Pages>
  <Words>43</Words>
  <Characters>249</Characters>
  <Lines>2</Lines>
  <Paragraphs>1</Paragraphs>
  <TotalTime>721</TotalTime>
  <ScaleCrop>false</ScaleCrop>
  <LinksUpToDate>false</LinksUpToDate>
  <CharactersWithSpaces>291</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2023-05-09T09:19:00Z</dcterms:created>
  <dc:creator>Alain Sultan</dc:creator>
  <cp:lastModifiedBy>LiYang</cp:lastModifiedBy>
  <dcterms:modified xsi:type="dcterms:W3CDTF">2024-08-12T09:19:50Z</dcterms:modified>
  <dc:title>3GPP TSG-SA1 #42</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2052-12.8.2.16984</vt:lpwstr>
  </property>
  <property fmtid="{D5CDD505-2E9C-101B-9397-08002B2CF9AE}" pid="3" name="ICV">
    <vt:lpwstr>E791D3D66C4B4CD58FDA3EFFAD6374EB_12</vt:lpwstr>
  </property>
</Properties>
</file>